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30B234D3" w:rsidR="00A160B2" w:rsidRDefault="00D15A0A" w:rsidP="00A160B2">
      <w:pPr>
        <w:spacing w:after="480"/>
      </w:pPr>
      <w:r>
        <w:rPr>
          <w:noProof/>
        </w:rPr>
        <w:drawing>
          <wp:inline distT="0" distB="0" distL="0" distR="0" wp14:anchorId="3FA15F7D" wp14:editId="2CD91A46">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4921" w:type="dxa"/>
            <w:tcBorders>
              <w:bottom w:val="single" w:sz="18" w:space="0" w:color="auto"/>
            </w:tcBorders>
          </w:tcPr>
          <w:p w14:paraId="4A91C7BE" w14:textId="56A9F953" w:rsidR="00A160B2" w:rsidRDefault="0041680C" w:rsidP="006C3150">
            <w:pPr>
              <w:pStyle w:val="Heading1"/>
            </w:pPr>
            <w:r w:rsidRPr="0041680C">
              <w:rPr>
                <w:b w:val="0"/>
                <w:bCs w:val="0"/>
                <w:szCs w:val="36"/>
              </w:rPr>
              <w:t>GOVERNANCE, AUDIT, RISK MANAGEMENT &amp; STANDARDS COMMITTEE</w:t>
            </w:r>
            <w:r>
              <w:t xml:space="preserve"> </w:t>
            </w:r>
          </w:p>
          <w:p w14:paraId="55A88F66" w14:textId="4B474957" w:rsidR="00A160B2" w:rsidRPr="00A160B2" w:rsidRDefault="00A160B2" w:rsidP="006C3150">
            <w:pPr>
              <w:pStyle w:val="Heading1"/>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3E2139CC" w:rsidR="00A160B2" w:rsidRDefault="00862A45" w:rsidP="006C3150">
            <w:pPr>
              <w:pStyle w:val="Infotext"/>
              <w:rPr>
                <w:rFonts w:cs="Arial"/>
              </w:rPr>
            </w:pPr>
            <w:r>
              <w:rPr>
                <w:rFonts w:cs="Arial"/>
              </w:rPr>
              <w:t>2</w:t>
            </w:r>
            <w:r w:rsidR="00DA597B">
              <w:rPr>
                <w:rFonts w:cs="Arial"/>
              </w:rPr>
              <w:t>0</w:t>
            </w:r>
            <w:r w:rsidR="00DA597B" w:rsidRPr="00DA597B">
              <w:rPr>
                <w:rFonts w:cs="Arial"/>
                <w:vertAlign w:val="superscript"/>
              </w:rPr>
              <w:t>th</w:t>
            </w:r>
            <w:r w:rsidR="00DA597B">
              <w:rPr>
                <w:rFonts w:cs="Arial"/>
              </w:rPr>
              <w:t xml:space="preserve"> September 2023</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14437E20" w14:textId="2C96179F" w:rsidR="0041680C" w:rsidRPr="0041680C" w:rsidRDefault="0041680C" w:rsidP="0041680C">
            <w:pPr>
              <w:rPr>
                <w:rFonts w:cs="Arial"/>
                <w:bCs/>
                <w:sz w:val="28"/>
                <w:u w:val="single"/>
              </w:rPr>
            </w:pPr>
            <w:r w:rsidRPr="0041680C">
              <w:rPr>
                <w:rFonts w:cs="Arial"/>
                <w:bCs/>
                <w:sz w:val="28"/>
              </w:rPr>
              <w:t>C</w:t>
            </w:r>
            <w:r w:rsidR="00DA597B">
              <w:rPr>
                <w:rFonts w:cs="Arial"/>
                <w:bCs/>
                <w:sz w:val="28"/>
              </w:rPr>
              <w:t>orporate Anti-Fraud Team Year-End Report 2022</w:t>
            </w:r>
            <w:r w:rsidR="005F70D7">
              <w:rPr>
                <w:rFonts w:cs="Arial"/>
                <w:bCs/>
                <w:sz w:val="28"/>
              </w:rPr>
              <w:t>/</w:t>
            </w:r>
            <w:r w:rsidR="00DA597B">
              <w:rPr>
                <w:rFonts w:cs="Arial"/>
                <w:bCs/>
                <w:sz w:val="28"/>
              </w:rPr>
              <w:t>23</w:t>
            </w:r>
          </w:p>
          <w:p w14:paraId="5914456E" w14:textId="77777777" w:rsidR="00A160B2" w:rsidRDefault="00A160B2"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16DAFF0" w14:textId="510F9E8C" w:rsidR="0041680C" w:rsidRPr="0041680C" w:rsidRDefault="00DA597B" w:rsidP="0041680C">
            <w:pPr>
              <w:rPr>
                <w:rFonts w:cs="Arial"/>
                <w:sz w:val="28"/>
              </w:rPr>
            </w:pPr>
            <w:r>
              <w:rPr>
                <w:rFonts w:cs="Arial"/>
                <w:sz w:val="28"/>
              </w:rPr>
              <w:t>Sharon Daniels</w:t>
            </w:r>
            <w:r w:rsidR="0041680C" w:rsidRPr="0041680C">
              <w:rPr>
                <w:rFonts w:cs="Arial"/>
                <w:sz w:val="28"/>
              </w:rPr>
              <w:t xml:space="preserve"> – </w:t>
            </w:r>
            <w:r>
              <w:rPr>
                <w:rFonts w:cs="Arial"/>
                <w:sz w:val="28"/>
              </w:rPr>
              <w:t xml:space="preserve">Interim </w:t>
            </w:r>
            <w:r w:rsidR="0041680C" w:rsidRPr="0041680C">
              <w:rPr>
                <w:rFonts w:cs="Arial"/>
                <w:sz w:val="28"/>
              </w:rPr>
              <w:t>Director of Finance &amp;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2B82AA8C" w:rsidR="00A160B2" w:rsidRDefault="00A160B2" w:rsidP="006C3150">
            <w:pPr>
              <w:pStyle w:val="Infotext"/>
              <w:rPr>
                <w:rFonts w:cs="Arial"/>
              </w:rPr>
            </w:pPr>
            <w:r>
              <w:rPr>
                <w:rFonts w:cs="Arial"/>
              </w:rPr>
              <w:t>No</w:t>
            </w:r>
          </w:p>
          <w:p w14:paraId="4C873B59" w14:textId="77777777" w:rsidR="00A160B2" w:rsidRDefault="00A160B2" w:rsidP="0041680C">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3223C01F" w:rsidR="00A160B2" w:rsidRDefault="0041680C" w:rsidP="0041680C">
            <w:pPr>
              <w:pStyle w:val="Infotext"/>
            </w:pPr>
            <w:r>
              <w:rPr>
                <w:rFonts w:cs="Arial"/>
                <w:szCs w:val="24"/>
              </w:rPr>
              <w:t>All</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3E55C806" w14:textId="77777777" w:rsidR="00A160B2" w:rsidRDefault="00A160B2" w:rsidP="006C3150">
            <w:pPr>
              <w:pStyle w:val="Infotext"/>
              <w:rPr>
                <w:rFonts w:ascii="Arial Black" w:hAnsi="Arial Black" w:cs="Arial"/>
              </w:rPr>
            </w:pPr>
          </w:p>
          <w:p w14:paraId="75E20CC1" w14:textId="77777777" w:rsidR="00862A45" w:rsidRDefault="00862A45" w:rsidP="006C3150">
            <w:pPr>
              <w:pStyle w:val="Infotext"/>
              <w:rPr>
                <w:rFonts w:ascii="Arial Black" w:hAnsi="Arial Black" w:cs="Arial"/>
              </w:rPr>
            </w:pPr>
          </w:p>
          <w:p w14:paraId="18ACA458" w14:textId="77777777" w:rsidR="00862A45" w:rsidRDefault="00862A45" w:rsidP="006C3150">
            <w:pPr>
              <w:pStyle w:val="Infotext"/>
              <w:rPr>
                <w:rFonts w:ascii="Arial Black" w:hAnsi="Arial Black" w:cs="Arial"/>
              </w:rPr>
            </w:pPr>
          </w:p>
          <w:p w14:paraId="426119B3" w14:textId="77777777" w:rsidR="00862A45" w:rsidRDefault="00862A45" w:rsidP="006C3150">
            <w:pPr>
              <w:pStyle w:val="Infotext"/>
              <w:rPr>
                <w:rFonts w:ascii="Arial Black" w:hAnsi="Arial Black" w:cs="Arial"/>
              </w:rPr>
            </w:pPr>
          </w:p>
          <w:p w14:paraId="78A94EEE" w14:textId="77777777" w:rsidR="00302F67" w:rsidRDefault="00302F67" w:rsidP="006C3150">
            <w:pPr>
              <w:pStyle w:val="Infotext"/>
              <w:rPr>
                <w:rFonts w:ascii="Arial Black" w:hAnsi="Arial Black" w:cs="Arial"/>
              </w:rPr>
            </w:pPr>
          </w:p>
          <w:p w14:paraId="69475841" w14:textId="703D3F10" w:rsidR="00774ABE" w:rsidRPr="00F92398" w:rsidRDefault="00774ABE" w:rsidP="006C3150">
            <w:pPr>
              <w:pStyle w:val="Infotext"/>
              <w:rPr>
                <w:rFonts w:ascii="Arial Black" w:hAnsi="Arial Black" w:cs="Arial"/>
              </w:rPr>
            </w:pPr>
          </w:p>
        </w:tc>
        <w:tc>
          <w:tcPr>
            <w:tcW w:w="4921" w:type="dxa"/>
          </w:tcPr>
          <w:p w14:paraId="0D01A8A3" w14:textId="0084040C" w:rsidR="0041680C" w:rsidRPr="0041680C" w:rsidRDefault="0041680C" w:rsidP="0041680C">
            <w:pPr>
              <w:rPr>
                <w:sz w:val="28"/>
                <w:szCs w:val="28"/>
              </w:rPr>
            </w:pPr>
            <w:r w:rsidRPr="0041680C">
              <w:rPr>
                <w:sz w:val="28"/>
                <w:szCs w:val="28"/>
              </w:rPr>
              <w:t>Appendix 1:</w:t>
            </w:r>
            <w:r w:rsidR="00163DB1">
              <w:rPr>
                <w:sz w:val="28"/>
                <w:szCs w:val="28"/>
              </w:rPr>
              <w:t xml:space="preserve"> </w:t>
            </w:r>
            <w:r w:rsidR="00B91567">
              <w:rPr>
                <w:sz w:val="28"/>
                <w:szCs w:val="28"/>
              </w:rPr>
              <w:t xml:space="preserve"> Corporate Anti-Fraud Team</w:t>
            </w:r>
            <w:r w:rsidR="005F70D7">
              <w:rPr>
                <w:sz w:val="28"/>
                <w:szCs w:val="28"/>
              </w:rPr>
              <w:t xml:space="preserve"> Year</w:t>
            </w:r>
            <w:r w:rsidR="002F38C5">
              <w:rPr>
                <w:sz w:val="28"/>
                <w:szCs w:val="28"/>
              </w:rPr>
              <w:t>-</w:t>
            </w:r>
            <w:r w:rsidR="005F70D7">
              <w:rPr>
                <w:sz w:val="28"/>
                <w:szCs w:val="28"/>
              </w:rPr>
              <w:t>End Report 2022/23</w:t>
            </w:r>
            <w:r w:rsidR="00163DB1">
              <w:rPr>
                <w:sz w:val="28"/>
                <w:szCs w:val="28"/>
              </w:rPr>
              <w:t xml:space="preserve"> </w:t>
            </w:r>
            <w:r w:rsidR="00DA597B">
              <w:rPr>
                <w:sz w:val="28"/>
                <w:szCs w:val="28"/>
              </w:rPr>
              <w:t xml:space="preserve">  </w:t>
            </w:r>
            <w:r w:rsidRPr="0041680C">
              <w:rPr>
                <w:sz w:val="28"/>
                <w:szCs w:val="28"/>
              </w:rPr>
              <w:t xml:space="preserve"> </w:t>
            </w:r>
          </w:p>
          <w:p w14:paraId="022F34C0" w14:textId="77777777" w:rsidR="00A160B2" w:rsidRDefault="00A160B2" w:rsidP="00862A45"/>
          <w:p w14:paraId="4C232B02" w14:textId="1A9FDEB3" w:rsidR="00862A45" w:rsidRDefault="00862A45" w:rsidP="00862A45"/>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4124675E" w14:textId="161A89D6" w:rsidR="00A160B2" w:rsidRPr="0041680C" w:rsidRDefault="00A160B2" w:rsidP="00A160B2">
            <w:r w:rsidRPr="0041680C">
              <w:t>This report sets out</w:t>
            </w:r>
            <w:r w:rsidR="0041680C" w:rsidRPr="0041680C">
              <w:t xml:space="preserve"> the </w:t>
            </w:r>
            <w:r w:rsidR="00EA4EF9">
              <w:t>performance of the Corporate Anti-Fraud Team in 2022</w:t>
            </w:r>
            <w:r w:rsidR="007A64B6">
              <w:t>/</w:t>
            </w:r>
            <w:r w:rsidR="00EA4EF9">
              <w:t>2</w:t>
            </w:r>
            <w:r w:rsidR="007A64B6">
              <w:t>3</w:t>
            </w:r>
            <w:r w:rsidR="0093500E">
              <w:t>.</w:t>
            </w:r>
            <w:r w:rsidR="00EA4EF9">
              <w:t xml:space="preserve"> </w:t>
            </w:r>
            <w:r w:rsidR="0041680C" w:rsidRPr="0041680C">
              <w:t xml:space="preserve"> </w:t>
            </w:r>
          </w:p>
          <w:p w14:paraId="2C9E4A81" w14:textId="77777777" w:rsidR="00A160B2" w:rsidRPr="0041680C" w:rsidRDefault="00A160B2" w:rsidP="00A160B2">
            <w:pPr>
              <w:rPr>
                <w:rFonts w:ascii="Arial Bold" w:hAnsi="Arial Bold"/>
                <w:b/>
                <w:bCs/>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350E7C4B" w14:textId="0AFBACD8" w:rsidR="0041680C" w:rsidRDefault="0041680C" w:rsidP="0041680C">
            <w:r w:rsidRPr="0041680C">
              <w:t>The Committee is requested to</w:t>
            </w:r>
            <w:r w:rsidR="00163DB1">
              <w:t xml:space="preserve"> </w:t>
            </w:r>
            <w:r w:rsidR="004B5CA2">
              <w:t xml:space="preserve">consider </w:t>
            </w:r>
            <w:r w:rsidR="00163DB1">
              <w:t xml:space="preserve">the report </w:t>
            </w:r>
            <w:r w:rsidR="00FF2882">
              <w:t xml:space="preserve">and appendix </w:t>
            </w:r>
            <w:r w:rsidR="00163DB1">
              <w:t xml:space="preserve">and </w:t>
            </w:r>
            <w:r w:rsidR="004B5CA2">
              <w:t xml:space="preserve">note </w:t>
            </w:r>
            <w:r w:rsidR="00FF2882">
              <w:t>its contents</w:t>
            </w:r>
            <w:r w:rsidR="00862A45">
              <w:t>.</w:t>
            </w:r>
          </w:p>
          <w:p w14:paraId="714CBDEE" w14:textId="7E50CA42" w:rsidR="00A160B2" w:rsidRDefault="00A160B2" w:rsidP="00774ABE"/>
        </w:tc>
      </w:tr>
    </w:tbl>
    <w:p w14:paraId="53DC7DE2" w14:textId="425286C8" w:rsidR="002A2389" w:rsidRDefault="002A2389" w:rsidP="00A160B2">
      <w:pPr>
        <w:pStyle w:val="Heading2"/>
      </w:pPr>
      <w:r>
        <w:t>Section 2 – Report</w:t>
      </w:r>
    </w:p>
    <w:p w14:paraId="73097B79" w14:textId="3D4DBB38" w:rsidR="00643CB6" w:rsidRDefault="00643CB6" w:rsidP="00643CB6"/>
    <w:p w14:paraId="324F96C9" w14:textId="77777777" w:rsidR="00207BCD" w:rsidRPr="00486F28" w:rsidRDefault="00207BCD" w:rsidP="00207BCD">
      <w:pPr>
        <w:spacing w:after="160" w:line="259" w:lineRule="auto"/>
        <w:rPr>
          <w:rFonts w:eastAsia="Calibri" w:cs="Arial"/>
          <w:b/>
          <w:bCs/>
          <w:sz w:val="28"/>
          <w:szCs w:val="28"/>
        </w:rPr>
      </w:pPr>
      <w:r w:rsidRPr="00486F28">
        <w:rPr>
          <w:rFonts w:eastAsia="Calibri" w:cs="Arial"/>
          <w:b/>
          <w:bCs/>
          <w:sz w:val="28"/>
          <w:szCs w:val="28"/>
        </w:rPr>
        <w:t xml:space="preserve">Background </w:t>
      </w:r>
    </w:p>
    <w:p w14:paraId="1A995C58" w14:textId="750051A6" w:rsidR="00C93040" w:rsidRPr="00B4404C" w:rsidRDefault="00207BCD" w:rsidP="00C93040">
      <w:pPr>
        <w:ind w:left="720" w:hanging="720"/>
      </w:pPr>
      <w:r w:rsidRPr="00486F28">
        <w:rPr>
          <w:rFonts w:eastAsia="Calibri" w:cs="Arial"/>
          <w:szCs w:val="24"/>
        </w:rPr>
        <w:t>2.</w:t>
      </w:r>
      <w:r>
        <w:rPr>
          <w:rFonts w:eastAsia="Calibri" w:cs="Arial"/>
          <w:szCs w:val="24"/>
        </w:rPr>
        <w:t>1</w:t>
      </w:r>
      <w:r w:rsidRPr="00486F28">
        <w:rPr>
          <w:rFonts w:eastAsia="Calibri" w:cs="Arial"/>
          <w:szCs w:val="24"/>
        </w:rPr>
        <w:tab/>
      </w:r>
      <w:r w:rsidR="00C93040" w:rsidRPr="00B4404C">
        <w:t xml:space="preserve">Annually the GARMS Committee considers a mid </w:t>
      </w:r>
      <w:r w:rsidR="00F21CA3">
        <w:rPr>
          <w:rFonts w:eastAsia="Calibri"/>
          <w:lang w:val="en-US"/>
        </w:rPr>
        <w:t xml:space="preserve">(not this year due to work undertaken on </w:t>
      </w:r>
      <w:r w:rsidR="00FF68F0">
        <w:rPr>
          <w:rFonts w:eastAsia="Calibri"/>
          <w:lang w:val="en-US"/>
        </w:rPr>
        <w:t>other</w:t>
      </w:r>
      <w:r w:rsidR="00DE7C8B">
        <w:rPr>
          <w:rFonts w:eastAsia="Calibri"/>
          <w:lang w:val="en-US"/>
        </w:rPr>
        <w:t xml:space="preserve"> </w:t>
      </w:r>
      <w:r w:rsidR="00F21CA3">
        <w:rPr>
          <w:rFonts w:eastAsia="Calibri"/>
          <w:lang w:val="en-US"/>
        </w:rPr>
        <w:t xml:space="preserve">governance </w:t>
      </w:r>
      <w:r w:rsidR="00DE7C8B">
        <w:rPr>
          <w:rFonts w:eastAsia="Calibri"/>
          <w:lang w:val="en-US"/>
        </w:rPr>
        <w:t>matters</w:t>
      </w:r>
      <w:r w:rsidR="00F21CA3">
        <w:rPr>
          <w:rFonts w:eastAsia="Calibri"/>
          <w:lang w:val="en-US"/>
        </w:rPr>
        <w:t xml:space="preserve">) </w:t>
      </w:r>
      <w:r w:rsidR="00C93040" w:rsidRPr="00B4404C">
        <w:t xml:space="preserve">and full year reports from </w:t>
      </w:r>
      <w:r w:rsidR="00C93040">
        <w:t xml:space="preserve">the Corporate Anti-Fraud Team </w:t>
      </w:r>
      <w:r w:rsidR="00C93040" w:rsidRPr="00B4404C">
        <w:t xml:space="preserve">covering progress against the agreed </w:t>
      </w:r>
      <w:r w:rsidR="00C93040">
        <w:t xml:space="preserve">annual </w:t>
      </w:r>
      <w:r w:rsidR="00C93040" w:rsidRPr="00B4404C">
        <w:t>plan</w:t>
      </w:r>
      <w:r w:rsidR="00C93040">
        <w:t>s</w:t>
      </w:r>
      <w:r w:rsidR="00C93040" w:rsidRPr="00B4404C">
        <w:t xml:space="preserve"> to help fulfil </w:t>
      </w:r>
      <w:proofErr w:type="spellStart"/>
      <w:proofErr w:type="gramStart"/>
      <w:r w:rsidR="00C93040" w:rsidRPr="00B4404C">
        <w:t>it’s</w:t>
      </w:r>
      <w:proofErr w:type="spellEnd"/>
      <w:proofErr w:type="gramEnd"/>
      <w:r w:rsidR="00C93040" w:rsidRPr="00B4404C">
        <w:t xml:space="preserve"> purpose in accordance with the</w:t>
      </w:r>
      <w:r w:rsidR="00C93040">
        <w:t xml:space="preserve"> </w:t>
      </w:r>
      <w:r w:rsidR="00C93040" w:rsidRPr="00B4404C">
        <w:t xml:space="preserve">Committees Terms of Reference.  </w:t>
      </w:r>
    </w:p>
    <w:p w14:paraId="417C5AD4" w14:textId="1FA61832" w:rsidR="00207BCD" w:rsidRPr="007A4E2D" w:rsidRDefault="00207BCD" w:rsidP="00326D37">
      <w:pPr>
        <w:rPr>
          <w:rFonts w:eastAsia="Calibri" w:cs="Arial"/>
          <w:szCs w:val="24"/>
        </w:rPr>
      </w:pPr>
    </w:p>
    <w:p w14:paraId="5AB55175" w14:textId="77777777" w:rsidR="00207BCD" w:rsidRDefault="00207BCD" w:rsidP="00207BCD">
      <w:pPr>
        <w:rPr>
          <w:rFonts w:eastAsia="Calibri" w:cs="Arial"/>
          <w:sz w:val="22"/>
          <w:szCs w:val="22"/>
        </w:rPr>
      </w:pPr>
    </w:p>
    <w:p w14:paraId="49FE00CD" w14:textId="04CDB275" w:rsidR="00C06465" w:rsidRDefault="00C06465" w:rsidP="00C06465">
      <w:pPr>
        <w:rPr>
          <w:b/>
          <w:iCs/>
          <w:sz w:val="28"/>
          <w:szCs w:val="28"/>
        </w:rPr>
      </w:pPr>
      <w:r w:rsidRPr="00C06465">
        <w:rPr>
          <w:b/>
          <w:iCs/>
          <w:sz w:val="28"/>
          <w:szCs w:val="28"/>
        </w:rPr>
        <w:t>Corporate Anti</w:t>
      </w:r>
      <w:r w:rsidR="0028672F">
        <w:rPr>
          <w:b/>
          <w:iCs/>
          <w:sz w:val="28"/>
          <w:szCs w:val="28"/>
        </w:rPr>
        <w:t>-</w:t>
      </w:r>
      <w:r w:rsidRPr="00C06465">
        <w:rPr>
          <w:b/>
          <w:iCs/>
          <w:sz w:val="28"/>
          <w:szCs w:val="28"/>
        </w:rPr>
        <w:t>Fraud Team Year-End Report (Appendix 1)</w:t>
      </w:r>
    </w:p>
    <w:p w14:paraId="27121A64" w14:textId="77777777" w:rsidR="0028672F" w:rsidRPr="00C06465" w:rsidRDefault="0028672F" w:rsidP="00C06465">
      <w:pPr>
        <w:rPr>
          <w:b/>
          <w:iCs/>
          <w:sz w:val="28"/>
          <w:szCs w:val="28"/>
        </w:rPr>
      </w:pPr>
    </w:p>
    <w:p w14:paraId="7F0CF176" w14:textId="65C84EDB" w:rsidR="005B56AE" w:rsidRDefault="0028672F" w:rsidP="00114BFA">
      <w:pPr>
        <w:spacing w:after="160" w:line="259" w:lineRule="auto"/>
        <w:ind w:left="720" w:hanging="720"/>
        <w:rPr>
          <w:rFonts w:eastAsia="Calibri"/>
        </w:rPr>
      </w:pPr>
      <w:r w:rsidRPr="0028672F">
        <w:rPr>
          <w:rFonts w:eastAsia="Calibri" w:cs="Arial"/>
          <w:szCs w:val="24"/>
        </w:rPr>
        <w:t>2.2</w:t>
      </w:r>
      <w:r w:rsidRPr="0028672F">
        <w:rPr>
          <w:rFonts w:eastAsia="Calibri" w:cs="Arial"/>
          <w:szCs w:val="24"/>
        </w:rPr>
        <w:tab/>
      </w:r>
      <w:bookmarkStart w:id="0" w:name="_Hlk80800225"/>
      <w:r w:rsidR="000A2BFD" w:rsidRPr="007C38FE">
        <w:rPr>
          <w:rFonts w:eastAsia="Calibri"/>
        </w:rPr>
        <w:t xml:space="preserve">Of the 12 work streams contained within the plan, 6 (50%) were achieved, </w:t>
      </w:r>
      <w:r w:rsidR="000A2BFD">
        <w:rPr>
          <w:rFonts w:eastAsia="Calibri"/>
        </w:rPr>
        <w:t>1 (8) was substantially achieved, 3</w:t>
      </w:r>
      <w:r w:rsidR="000A2BFD" w:rsidRPr="007C38FE">
        <w:rPr>
          <w:rFonts w:eastAsia="Calibri"/>
        </w:rPr>
        <w:t xml:space="preserve"> (</w:t>
      </w:r>
      <w:r w:rsidR="000A2BFD">
        <w:rPr>
          <w:rFonts w:eastAsia="Calibri"/>
        </w:rPr>
        <w:t>25</w:t>
      </w:r>
      <w:r w:rsidR="000A2BFD" w:rsidRPr="007C38FE">
        <w:rPr>
          <w:rFonts w:eastAsia="Calibri"/>
        </w:rPr>
        <w:t xml:space="preserve">%) were partially achieved, 1 (8%) was carried over to 2023-24 and 1 (8%) was not achieved. </w:t>
      </w:r>
    </w:p>
    <w:p w14:paraId="06F04254" w14:textId="5B3D8EFF" w:rsidR="00082545" w:rsidRPr="0028672F" w:rsidRDefault="000A2BFD" w:rsidP="007A4E2D">
      <w:pPr>
        <w:spacing w:after="160" w:line="259" w:lineRule="auto"/>
        <w:rPr>
          <w:rFonts w:eastAsia="Calibri" w:cs="Arial"/>
          <w:szCs w:val="24"/>
        </w:rPr>
      </w:pPr>
      <w:r>
        <w:rPr>
          <w:rFonts w:eastAsia="Calibri"/>
        </w:rPr>
        <w:t>2.3</w:t>
      </w:r>
      <w:r w:rsidR="0079062C">
        <w:rPr>
          <w:rFonts w:eastAsia="Calibri"/>
        </w:rPr>
        <w:tab/>
      </w:r>
      <w:r w:rsidRPr="007C38FE">
        <w:rPr>
          <w:rFonts w:eastAsia="Calibri"/>
        </w:rPr>
        <w:t xml:space="preserve">In terms of the </w:t>
      </w:r>
      <w:r w:rsidRPr="4DDD1C6A">
        <w:rPr>
          <w:rFonts w:eastAsia="Calibri"/>
        </w:rPr>
        <w:t>team’s</w:t>
      </w:r>
      <w:r>
        <w:rPr>
          <w:rFonts w:eastAsia="Calibri"/>
        </w:rPr>
        <w:t xml:space="preserve"> </w:t>
      </w:r>
      <w:r w:rsidRPr="007C38FE">
        <w:rPr>
          <w:rFonts w:eastAsia="Calibri"/>
        </w:rPr>
        <w:t>key performance indicators</w:t>
      </w:r>
      <w:r>
        <w:rPr>
          <w:rFonts w:eastAsia="Calibri"/>
        </w:rPr>
        <w:t>;</w:t>
      </w:r>
      <w:r w:rsidRPr="007C38FE">
        <w:rPr>
          <w:rFonts w:eastAsia="Calibri"/>
        </w:rPr>
        <w:t xml:space="preserve"> </w:t>
      </w:r>
      <w:r w:rsidRPr="00E845C2">
        <w:rPr>
          <w:rFonts w:eastAsia="Calibri"/>
        </w:rPr>
        <w:t>all 5 were ac</w:t>
      </w:r>
      <w:bookmarkEnd w:id="0"/>
      <w:r w:rsidRPr="00E845C2">
        <w:rPr>
          <w:rFonts w:eastAsia="Calibri"/>
        </w:rPr>
        <w:t>hieved</w:t>
      </w:r>
      <w:r w:rsidRPr="007C38FE">
        <w:rPr>
          <w:rFonts w:eastAsia="Calibri"/>
        </w:rPr>
        <w:t xml:space="preserve">. </w:t>
      </w:r>
      <w:r w:rsidR="0028672F" w:rsidRPr="0028672F">
        <w:rPr>
          <w:rFonts w:eastAsia="Calibri" w:cs="Arial"/>
          <w:szCs w:val="24"/>
        </w:rPr>
        <w:t xml:space="preserve"> </w:t>
      </w:r>
    </w:p>
    <w:p w14:paraId="4A2D57EC" w14:textId="4E08AF6C" w:rsidR="00082545" w:rsidRDefault="00082545" w:rsidP="00082545">
      <w:pPr>
        <w:ind w:left="720" w:hanging="720"/>
        <w:rPr>
          <w:rFonts w:eastAsia="Calibri" w:cs="Arial"/>
          <w:szCs w:val="24"/>
        </w:rPr>
      </w:pPr>
      <w:r>
        <w:rPr>
          <w:rFonts w:eastAsia="Calibri" w:cs="Arial"/>
          <w:szCs w:val="24"/>
        </w:rPr>
        <w:t>2.</w:t>
      </w:r>
      <w:r w:rsidR="005B56AE">
        <w:rPr>
          <w:rFonts w:eastAsia="Calibri" w:cs="Arial"/>
          <w:szCs w:val="24"/>
        </w:rPr>
        <w:t>4</w:t>
      </w:r>
      <w:r>
        <w:rPr>
          <w:rFonts w:eastAsia="Calibri" w:cs="Arial"/>
          <w:szCs w:val="24"/>
        </w:rPr>
        <w:tab/>
      </w:r>
      <w:r w:rsidRPr="00082545">
        <w:rPr>
          <w:rFonts w:eastAsia="Calibri" w:cs="Arial"/>
          <w:szCs w:val="24"/>
        </w:rPr>
        <w:t>The plan is delivered by an in house Corporate Anti-Fraud Team of 5</w:t>
      </w:r>
      <w:r w:rsidR="00207BCD">
        <w:rPr>
          <w:rFonts w:eastAsia="Calibri" w:cs="Arial"/>
          <w:szCs w:val="24"/>
        </w:rPr>
        <w:t xml:space="preserve"> </w:t>
      </w:r>
      <w:r w:rsidRPr="00082545">
        <w:rPr>
          <w:rFonts w:eastAsia="Calibri" w:cs="Arial"/>
          <w:szCs w:val="24"/>
        </w:rPr>
        <w:t xml:space="preserve">FTE’s including the Service Manager.  All officers in the team are Accredited Counter Fraud Officers and the Service Manager is a qualified as Accredited Counter Fraud Manager. </w:t>
      </w:r>
    </w:p>
    <w:p w14:paraId="412C130E" w14:textId="77777777" w:rsidR="007712A1" w:rsidRDefault="007712A1" w:rsidP="00082545">
      <w:pPr>
        <w:ind w:left="720" w:hanging="720"/>
        <w:rPr>
          <w:rFonts w:eastAsia="Calibri" w:cs="Arial"/>
          <w:szCs w:val="24"/>
        </w:rPr>
      </w:pPr>
    </w:p>
    <w:p w14:paraId="686F4046" w14:textId="77777777" w:rsidR="00BC73EA" w:rsidRDefault="00BC73EA" w:rsidP="00082545">
      <w:pPr>
        <w:ind w:left="720" w:hanging="720"/>
        <w:rPr>
          <w:rFonts w:eastAsia="Calibri" w:cs="Arial"/>
          <w:szCs w:val="24"/>
        </w:rPr>
      </w:pPr>
    </w:p>
    <w:p w14:paraId="2EA3D39E" w14:textId="1138B08C" w:rsidR="007712A1" w:rsidRPr="0060694E" w:rsidRDefault="007712A1" w:rsidP="00082545">
      <w:pPr>
        <w:ind w:left="720" w:hanging="720"/>
        <w:rPr>
          <w:rFonts w:eastAsia="Calibri" w:cs="Arial"/>
          <w:b/>
          <w:bCs/>
          <w:sz w:val="28"/>
          <w:szCs w:val="28"/>
        </w:rPr>
      </w:pPr>
      <w:r w:rsidRPr="0060694E">
        <w:rPr>
          <w:rFonts w:eastAsia="Calibri" w:cs="Arial"/>
          <w:b/>
          <w:bCs/>
          <w:sz w:val="28"/>
          <w:szCs w:val="28"/>
        </w:rPr>
        <w:t>The Regulation of Investigatory Pow</w:t>
      </w:r>
      <w:r w:rsidR="0060694E" w:rsidRPr="0060694E">
        <w:rPr>
          <w:rFonts w:eastAsia="Calibri" w:cs="Arial"/>
          <w:b/>
          <w:bCs/>
          <w:sz w:val="28"/>
          <w:szCs w:val="28"/>
        </w:rPr>
        <w:t>e</w:t>
      </w:r>
      <w:r w:rsidRPr="0060694E">
        <w:rPr>
          <w:rFonts w:eastAsia="Calibri" w:cs="Arial"/>
          <w:b/>
          <w:bCs/>
          <w:sz w:val="28"/>
          <w:szCs w:val="28"/>
        </w:rPr>
        <w:t xml:space="preserve">rs Act </w:t>
      </w:r>
      <w:r w:rsidR="0060694E" w:rsidRPr="0060694E">
        <w:rPr>
          <w:rFonts w:eastAsia="Calibri" w:cs="Arial"/>
          <w:b/>
          <w:bCs/>
          <w:sz w:val="28"/>
          <w:szCs w:val="28"/>
        </w:rPr>
        <w:t xml:space="preserve">2000 </w:t>
      </w:r>
      <w:r w:rsidR="0060694E">
        <w:rPr>
          <w:rFonts w:eastAsia="Calibri" w:cs="Arial"/>
          <w:b/>
          <w:bCs/>
          <w:sz w:val="28"/>
          <w:szCs w:val="28"/>
        </w:rPr>
        <w:t xml:space="preserve">use </w:t>
      </w:r>
      <w:r w:rsidR="0060694E" w:rsidRPr="0060694E">
        <w:rPr>
          <w:rFonts w:eastAsia="Calibri" w:cs="Arial"/>
          <w:b/>
          <w:bCs/>
          <w:sz w:val="28"/>
          <w:szCs w:val="28"/>
        </w:rPr>
        <w:t>(RIPA)</w:t>
      </w:r>
    </w:p>
    <w:p w14:paraId="25122D3E" w14:textId="77777777" w:rsidR="0060694E" w:rsidRDefault="0060694E" w:rsidP="00082545">
      <w:pPr>
        <w:ind w:left="720" w:hanging="720"/>
        <w:rPr>
          <w:rFonts w:eastAsia="Calibri" w:cs="Arial"/>
          <w:szCs w:val="24"/>
        </w:rPr>
      </w:pPr>
    </w:p>
    <w:p w14:paraId="3861D738" w14:textId="6BB9E356" w:rsidR="007712A1" w:rsidRDefault="008659E1" w:rsidP="007A02C8">
      <w:pPr>
        <w:spacing w:after="210"/>
        <w:ind w:left="720" w:hanging="720"/>
        <w:textAlignment w:val="baseline"/>
        <w:rPr>
          <w:rFonts w:cs="Arial"/>
          <w:color w:val="0C2A29"/>
          <w:szCs w:val="24"/>
          <w:lang w:eastAsia="en-GB"/>
        </w:rPr>
      </w:pPr>
      <w:r>
        <w:rPr>
          <w:rFonts w:cs="Arial"/>
          <w:color w:val="0C2A29"/>
          <w:szCs w:val="24"/>
          <w:lang w:eastAsia="en-GB"/>
        </w:rPr>
        <w:t xml:space="preserve">2.5 </w:t>
      </w:r>
      <w:r>
        <w:rPr>
          <w:rFonts w:cs="Arial"/>
          <w:color w:val="0C2A29"/>
          <w:szCs w:val="24"/>
          <w:lang w:eastAsia="en-GB"/>
        </w:rPr>
        <w:tab/>
      </w:r>
      <w:r w:rsidR="007712A1">
        <w:rPr>
          <w:rFonts w:cs="Arial"/>
          <w:color w:val="0C2A29"/>
          <w:szCs w:val="24"/>
          <w:lang w:eastAsia="en-GB"/>
        </w:rPr>
        <w:t>The Regulation of Investigatory Powers Act 2000 (RIPA) sets out the ways in</w:t>
      </w:r>
      <w:r w:rsidR="0060694E">
        <w:rPr>
          <w:rFonts w:cs="Arial"/>
          <w:color w:val="0C2A29"/>
          <w:szCs w:val="24"/>
          <w:lang w:eastAsia="en-GB"/>
        </w:rPr>
        <w:t xml:space="preserve">        </w:t>
      </w:r>
      <w:r w:rsidR="006E0381">
        <w:rPr>
          <w:rFonts w:cs="Arial"/>
          <w:color w:val="0C2A29"/>
          <w:szCs w:val="24"/>
          <w:lang w:eastAsia="en-GB"/>
        </w:rPr>
        <w:t xml:space="preserve">              </w:t>
      </w:r>
      <w:r w:rsidR="007712A1">
        <w:rPr>
          <w:rFonts w:cs="Arial"/>
          <w:color w:val="0C2A29"/>
          <w:szCs w:val="24"/>
          <w:lang w:eastAsia="en-GB"/>
        </w:rPr>
        <w:t>which the council can lawfully carry out investigations when we want to use surveillance techniques. There are 3 types of surveillance techniques available to local authorities:</w:t>
      </w:r>
    </w:p>
    <w:p w14:paraId="1C8A4FE5" w14:textId="77777777" w:rsidR="007712A1" w:rsidRDefault="007712A1" w:rsidP="007712A1">
      <w:pPr>
        <w:numPr>
          <w:ilvl w:val="0"/>
          <w:numId w:val="25"/>
        </w:numPr>
        <w:ind w:left="1140"/>
        <w:textAlignment w:val="baseline"/>
        <w:rPr>
          <w:rFonts w:cs="Arial"/>
          <w:color w:val="0C2A29"/>
          <w:szCs w:val="24"/>
          <w:lang w:eastAsia="en-GB"/>
        </w:rPr>
      </w:pPr>
      <w:r>
        <w:rPr>
          <w:rFonts w:cs="Arial"/>
          <w:color w:val="0C2A29"/>
          <w:szCs w:val="24"/>
          <w:lang w:eastAsia="en-GB"/>
        </w:rPr>
        <w:t>the acquisition and disclosure of communications data (such as telephone billing information or subscriber details</w:t>
      </w:r>
      <w:proofErr w:type="gramStart"/>
      <w:r>
        <w:rPr>
          <w:rFonts w:cs="Arial"/>
          <w:color w:val="0C2A29"/>
          <w:szCs w:val="24"/>
          <w:lang w:eastAsia="en-GB"/>
        </w:rPr>
        <w:t>);</w:t>
      </w:r>
      <w:proofErr w:type="gramEnd"/>
    </w:p>
    <w:p w14:paraId="0127C1C9" w14:textId="77777777" w:rsidR="007712A1" w:rsidRDefault="007712A1" w:rsidP="007712A1">
      <w:pPr>
        <w:numPr>
          <w:ilvl w:val="0"/>
          <w:numId w:val="26"/>
        </w:numPr>
        <w:ind w:left="1140"/>
        <w:textAlignment w:val="baseline"/>
        <w:rPr>
          <w:rFonts w:cs="Arial"/>
          <w:color w:val="0C2A29"/>
          <w:szCs w:val="24"/>
          <w:lang w:eastAsia="en-GB"/>
        </w:rPr>
      </w:pPr>
      <w:r>
        <w:rPr>
          <w:rFonts w:cs="Arial"/>
          <w:color w:val="0C2A29"/>
          <w:szCs w:val="24"/>
          <w:lang w:eastAsia="en-GB"/>
        </w:rPr>
        <w:t>directed surveillance (covert surveillance of individuals in public places); and</w:t>
      </w:r>
    </w:p>
    <w:p w14:paraId="6D41FB55" w14:textId="77777777" w:rsidR="007712A1" w:rsidRDefault="007712A1" w:rsidP="007712A1">
      <w:pPr>
        <w:numPr>
          <w:ilvl w:val="0"/>
          <w:numId w:val="27"/>
        </w:numPr>
        <w:ind w:left="1140"/>
        <w:textAlignment w:val="baseline"/>
        <w:rPr>
          <w:rFonts w:cs="Arial"/>
          <w:color w:val="0C2A29"/>
          <w:szCs w:val="24"/>
          <w:lang w:eastAsia="en-GB"/>
        </w:rPr>
      </w:pPr>
      <w:r>
        <w:rPr>
          <w:rFonts w:cs="Arial"/>
          <w:color w:val="0C2A29"/>
          <w:szCs w:val="24"/>
          <w:lang w:eastAsia="en-GB"/>
        </w:rPr>
        <w:lastRenderedPageBreak/>
        <w:t>covert human intelligence sources (CHIS) (such as the deployment of undercover officers)</w:t>
      </w:r>
    </w:p>
    <w:p w14:paraId="3E7706FD" w14:textId="77777777" w:rsidR="0060694E" w:rsidRDefault="0060694E" w:rsidP="0060694E">
      <w:pPr>
        <w:ind w:left="1140"/>
        <w:textAlignment w:val="baseline"/>
        <w:rPr>
          <w:rFonts w:cs="Arial"/>
          <w:color w:val="0C2A29"/>
          <w:szCs w:val="24"/>
          <w:lang w:eastAsia="en-GB"/>
        </w:rPr>
      </w:pPr>
    </w:p>
    <w:p w14:paraId="1753D861" w14:textId="40986F75" w:rsidR="007712A1" w:rsidRDefault="007A02C8" w:rsidP="00114BFA">
      <w:pPr>
        <w:spacing w:after="210"/>
        <w:ind w:left="720" w:hanging="720"/>
        <w:textAlignment w:val="baseline"/>
        <w:rPr>
          <w:rFonts w:cs="Arial"/>
          <w:color w:val="0C2A29"/>
          <w:szCs w:val="24"/>
          <w:lang w:eastAsia="en-GB"/>
        </w:rPr>
      </w:pPr>
      <w:r>
        <w:rPr>
          <w:rFonts w:cs="Arial"/>
          <w:color w:val="0C2A29"/>
          <w:szCs w:val="24"/>
          <w:lang w:eastAsia="en-GB"/>
        </w:rPr>
        <w:t>2</w:t>
      </w:r>
      <w:r w:rsidR="006E0381">
        <w:rPr>
          <w:rFonts w:cs="Arial"/>
          <w:color w:val="0C2A29"/>
          <w:szCs w:val="24"/>
          <w:lang w:eastAsia="en-GB"/>
        </w:rPr>
        <w:t xml:space="preserve">.6 </w:t>
      </w:r>
      <w:r>
        <w:rPr>
          <w:rFonts w:cs="Arial"/>
          <w:color w:val="0C2A29"/>
          <w:szCs w:val="24"/>
          <w:lang w:eastAsia="en-GB"/>
        </w:rPr>
        <w:tab/>
      </w:r>
      <w:r w:rsidR="007712A1">
        <w:rPr>
          <w:rFonts w:cs="Arial"/>
          <w:color w:val="0C2A29"/>
          <w:szCs w:val="24"/>
          <w:lang w:eastAsia="en-GB"/>
        </w:rPr>
        <w:t xml:space="preserve">Local authorities may use covert techniques where they are responsible for </w:t>
      </w:r>
      <w:r>
        <w:rPr>
          <w:rFonts w:cs="Arial"/>
          <w:color w:val="0C2A29"/>
          <w:szCs w:val="24"/>
          <w:lang w:eastAsia="en-GB"/>
        </w:rPr>
        <w:t xml:space="preserve">     </w:t>
      </w:r>
      <w:r w:rsidR="007712A1">
        <w:rPr>
          <w:rFonts w:cs="Arial"/>
          <w:color w:val="0C2A29"/>
          <w:szCs w:val="24"/>
          <w:lang w:eastAsia="en-GB"/>
        </w:rPr>
        <w:t>enforcing the law in respect of: environmental crime; consumer scams; loan</w:t>
      </w:r>
      <w:r w:rsidR="00114BFA">
        <w:rPr>
          <w:rFonts w:cs="Arial"/>
          <w:color w:val="0C2A29"/>
          <w:szCs w:val="24"/>
          <w:lang w:eastAsia="en-GB"/>
        </w:rPr>
        <w:t xml:space="preserve"> </w:t>
      </w:r>
      <w:r w:rsidR="007712A1">
        <w:rPr>
          <w:rFonts w:cs="Arial"/>
          <w:color w:val="0C2A29"/>
          <w:szCs w:val="24"/>
          <w:lang w:eastAsia="en-GB"/>
        </w:rPr>
        <w:t xml:space="preserve">sharks; </w:t>
      </w:r>
      <w:proofErr w:type="gramStart"/>
      <w:r w:rsidR="007712A1">
        <w:rPr>
          <w:rFonts w:cs="Arial"/>
          <w:color w:val="0C2A29"/>
          <w:szCs w:val="24"/>
          <w:lang w:eastAsia="en-GB"/>
        </w:rPr>
        <w:t>taxi cab</w:t>
      </w:r>
      <w:proofErr w:type="gramEnd"/>
      <w:r w:rsidR="007712A1">
        <w:rPr>
          <w:rFonts w:cs="Arial"/>
          <w:color w:val="0C2A29"/>
          <w:szCs w:val="24"/>
          <w:lang w:eastAsia="en-GB"/>
        </w:rPr>
        <w:t xml:space="preserve"> regulation; underage sale of knives, alcohol and tobacco; and the employment of minors. CHIS and directed surveillance techniques are used in test purchase operations to investigate the sale of tobacco, </w:t>
      </w:r>
      <w:proofErr w:type="gramStart"/>
      <w:r w:rsidR="007712A1">
        <w:rPr>
          <w:rFonts w:cs="Arial"/>
          <w:color w:val="0C2A29"/>
          <w:szCs w:val="24"/>
          <w:lang w:eastAsia="en-GB"/>
        </w:rPr>
        <w:t>alcohol</w:t>
      </w:r>
      <w:proofErr w:type="gramEnd"/>
      <w:r w:rsidR="007712A1">
        <w:rPr>
          <w:rFonts w:cs="Arial"/>
          <w:color w:val="0C2A29"/>
          <w:szCs w:val="24"/>
          <w:lang w:eastAsia="en-GB"/>
        </w:rPr>
        <w:t xml:space="preserve"> and other age-restricted products.</w:t>
      </w:r>
    </w:p>
    <w:p w14:paraId="06A0C0DB" w14:textId="0EC5B2F0" w:rsidR="007712A1" w:rsidRDefault="00114BFA" w:rsidP="00114BFA">
      <w:pPr>
        <w:spacing w:after="210"/>
        <w:ind w:left="720" w:hanging="720"/>
        <w:textAlignment w:val="baseline"/>
        <w:rPr>
          <w:rFonts w:cs="Arial"/>
          <w:color w:val="0C2A29"/>
          <w:szCs w:val="24"/>
          <w:lang w:eastAsia="en-GB"/>
        </w:rPr>
      </w:pPr>
      <w:r>
        <w:rPr>
          <w:rFonts w:cs="Arial"/>
          <w:color w:val="0C2A29"/>
          <w:szCs w:val="24"/>
          <w:lang w:eastAsia="en-GB"/>
        </w:rPr>
        <w:t>2.7</w:t>
      </w:r>
      <w:r>
        <w:rPr>
          <w:rFonts w:cs="Arial"/>
          <w:color w:val="0C2A29"/>
          <w:szCs w:val="24"/>
          <w:lang w:eastAsia="en-GB"/>
        </w:rPr>
        <w:tab/>
      </w:r>
      <w:r w:rsidR="007712A1">
        <w:rPr>
          <w:rFonts w:cs="Arial"/>
          <w:color w:val="0C2A29"/>
          <w:szCs w:val="24"/>
          <w:lang w:eastAsia="en-GB"/>
        </w:rPr>
        <w:t>Local authorities may only use covert surveillance for the prevention and detection of crime, and only in those cases where the offence under investigation is subject to a term of imprisonment of 6 months or more. In addition, since the Protection of Freedom Act 2012 came into force, all local authorities must get approval from a magistrate before they undertake any form of covert surveillance.</w:t>
      </w:r>
    </w:p>
    <w:p w14:paraId="07F8C41F" w14:textId="060BE9BC" w:rsidR="007712A1" w:rsidRPr="006C635F" w:rsidRDefault="00114BFA" w:rsidP="00114BFA">
      <w:pPr>
        <w:spacing w:after="210"/>
        <w:ind w:left="720" w:hanging="720"/>
        <w:textAlignment w:val="baseline"/>
        <w:rPr>
          <w:rFonts w:cs="Arial"/>
          <w:color w:val="0C2A29"/>
          <w:szCs w:val="24"/>
          <w:lang w:eastAsia="en-GB"/>
        </w:rPr>
      </w:pPr>
      <w:r>
        <w:rPr>
          <w:rFonts w:cs="Arial"/>
          <w:color w:val="0C2A29"/>
          <w:szCs w:val="24"/>
          <w:lang w:eastAsia="en-GB"/>
        </w:rPr>
        <w:t>2.8</w:t>
      </w:r>
      <w:r>
        <w:rPr>
          <w:rFonts w:cs="Arial"/>
          <w:color w:val="0C2A29"/>
          <w:szCs w:val="24"/>
          <w:lang w:eastAsia="en-GB"/>
        </w:rPr>
        <w:tab/>
      </w:r>
      <w:r w:rsidR="007712A1">
        <w:rPr>
          <w:rFonts w:cs="Arial"/>
          <w:color w:val="0C2A29"/>
          <w:szCs w:val="24"/>
          <w:lang w:eastAsia="en-GB"/>
        </w:rPr>
        <w:t>Harrow’s use of surveillance powers is kept under review by the Chief Surveillance Commissioner, the Council is required to submit an annual return which it has done every year.  Regular inspection visits are made the last one being in 2019. These powers have not been used since 2017 and the council have found other ways to obtain the information required.</w:t>
      </w:r>
    </w:p>
    <w:p w14:paraId="4994BC74" w14:textId="77777777" w:rsidR="00674352" w:rsidRDefault="00213BE7" w:rsidP="00674352">
      <w:pPr>
        <w:pStyle w:val="Heading2"/>
      </w:pPr>
      <w:r>
        <w:t>Legal Implications</w:t>
      </w:r>
    </w:p>
    <w:p w14:paraId="403416FD" w14:textId="77777777" w:rsidR="008F2147" w:rsidRDefault="008F2147" w:rsidP="008F2147"/>
    <w:p w14:paraId="49EC943C" w14:textId="40614D2D" w:rsidR="008F2147" w:rsidRPr="008F2147" w:rsidRDefault="005B56AE" w:rsidP="0017599E">
      <w:r>
        <w:t>None</w:t>
      </w:r>
    </w:p>
    <w:p w14:paraId="6C3A0D5C" w14:textId="77777777" w:rsidR="00674352" w:rsidRPr="00674352" w:rsidRDefault="00674352" w:rsidP="00674352"/>
    <w:p w14:paraId="41BB405D" w14:textId="014F6CB5" w:rsidR="002A2389" w:rsidRDefault="002A2389" w:rsidP="00674352">
      <w:pPr>
        <w:pStyle w:val="Heading2"/>
      </w:pPr>
      <w:r>
        <w:t>Financial Implications</w:t>
      </w:r>
    </w:p>
    <w:p w14:paraId="194749DE" w14:textId="77777777" w:rsidR="00674352" w:rsidRDefault="00674352" w:rsidP="00674352">
      <w:pPr>
        <w:outlineLvl w:val="1"/>
        <w:rPr>
          <w:rFonts w:cs="Arial"/>
          <w:bCs/>
          <w:szCs w:val="24"/>
        </w:rPr>
      </w:pPr>
    </w:p>
    <w:p w14:paraId="099E8760" w14:textId="76C0903E" w:rsidR="00674352" w:rsidRPr="00674352" w:rsidRDefault="00674352" w:rsidP="00674352">
      <w:pPr>
        <w:outlineLvl w:val="1"/>
        <w:rPr>
          <w:rFonts w:cs="Arial"/>
          <w:bCs/>
          <w:szCs w:val="24"/>
        </w:rPr>
      </w:pPr>
      <w:r>
        <w:rPr>
          <w:rFonts w:cs="Arial"/>
          <w:bCs/>
          <w:szCs w:val="24"/>
        </w:rPr>
        <w:t>T</w:t>
      </w:r>
      <w:r w:rsidRPr="00674352">
        <w:rPr>
          <w:rFonts w:cs="Arial"/>
          <w:bCs/>
          <w:szCs w:val="24"/>
        </w:rPr>
        <w:t xml:space="preserve">he functions of the Corporate Anti-Fraud </w:t>
      </w:r>
      <w:r w:rsidR="0017599E">
        <w:rPr>
          <w:rFonts w:cs="Arial"/>
          <w:bCs/>
          <w:szCs w:val="24"/>
        </w:rPr>
        <w:t>Team</w:t>
      </w:r>
      <w:r w:rsidRPr="00674352">
        <w:rPr>
          <w:rFonts w:cs="Arial"/>
          <w:bCs/>
          <w:szCs w:val="24"/>
        </w:rPr>
        <w:t xml:space="preserve"> are delivered within the budget available.</w:t>
      </w:r>
    </w:p>
    <w:p w14:paraId="5ACE80EE" w14:textId="5495914D" w:rsidR="00C32DAE" w:rsidRDefault="00C32DAE" w:rsidP="003D2FFE">
      <w:pPr>
        <w:pStyle w:val="Heading2"/>
        <w:spacing w:after="240"/>
      </w:pPr>
      <w:r>
        <w:t>Risk Management Implications</w:t>
      </w:r>
    </w:p>
    <w:p w14:paraId="08F406C6" w14:textId="0C4047CE" w:rsidR="00AB115C" w:rsidRPr="00AB115C" w:rsidRDefault="00421628" w:rsidP="00AB115C">
      <w:r>
        <w:t>None</w:t>
      </w:r>
    </w:p>
    <w:p w14:paraId="43CC1C4F" w14:textId="77777777" w:rsidR="004A4A1D" w:rsidRDefault="004A4A1D" w:rsidP="004A4A1D">
      <w:pPr>
        <w:tabs>
          <w:tab w:val="left" w:pos="5610"/>
        </w:tabs>
        <w:ind w:left="567" w:right="81" w:hanging="567"/>
        <w:rPr>
          <w:rFonts w:cs="Arial"/>
          <w:szCs w:val="24"/>
          <w:lang w:val="en-US"/>
        </w:rPr>
      </w:pP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E6A6BD5" w14:textId="1F911A51" w:rsidR="00D35166" w:rsidRPr="00D35166" w:rsidRDefault="00D35166" w:rsidP="00D35166">
      <w:pPr>
        <w:rPr>
          <w:rFonts w:eastAsia="Calibri" w:cs="Arial"/>
          <w:szCs w:val="24"/>
        </w:rPr>
      </w:pPr>
      <w:r w:rsidRPr="00D35166">
        <w:rPr>
          <w:rFonts w:eastAsia="Calibri" w:cs="Arial"/>
          <w:szCs w:val="24"/>
        </w:rPr>
        <w:t>Decision makers should have due regard to the public sector equality duty</w:t>
      </w:r>
      <w:r>
        <w:rPr>
          <w:rFonts w:eastAsia="Calibri" w:cs="Arial"/>
          <w:szCs w:val="24"/>
        </w:rPr>
        <w:t xml:space="preserve"> </w:t>
      </w:r>
      <w:r w:rsidRPr="00D35166">
        <w:rPr>
          <w:rFonts w:eastAsia="Calibri" w:cs="Arial"/>
          <w:szCs w:val="24"/>
        </w:rPr>
        <w:t>in making their decisions. The equalities duties are continuing duties they</w:t>
      </w:r>
      <w:r w:rsidRPr="00AC2D79">
        <w:rPr>
          <w:rFonts w:eastAsia="Calibri" w:cs="Arial"/>
          <w:szCs w:val="24"/>
        </w:rPr>
        <w:t xml:space="preserve"> </w:t>
      </w:r>
      <w:r w:rsidRPr="00D35166">
        <w:rPr>
          <w:rFonts w:eastAsia="Calibri" w:cs="Arial"/>
          <w:szCs w:val="24"/>
        </w:rPr>
        <w:t xml:space="preserve">are not duties to secure a particular outcome. </w:t>
      </w:r>
    </w:p>
    <w:p w14:paraId="3F352B0B" w14:textId="77777777" w:rsidR="00D35166" w:rsidRDefault="00D35166" w:rsidP="00D35166">
      <w:pPr>
        <w:rPr>
          <w:rFonts w:eastAsia="Calibri" w:cs="Arial"/>
          <w:szCs w:val="24"/>
        </w:rPr>
      </w:pPr>
    </w:p>
    <w:p w14:paraId="4D62022F" w14:textId="0E301940" w:rsidR="00D35166" w:rsidRPr="00D35166" w:rsidRDefault="00D35166" w:rsidP="00D35166">
      <w:pPr>
        <w:rPr>
          <w:rFonts w:eastAsia="Calibri" w:cs="Arial"/>
          <w:szCs w:val="24"/>
        </w:rPr>
      </w:pPr>
      <w:r w:rsidRPr="00D35166">
        <w:rPr>
          <w:rFonts w:eastAsia="Calibri" w:cs="Arial"/>
          <w:szCs w:val="24"/>
        </w:rPr>
        <w:lastRenderedPageBreak/>
        <w:t>The statutory grounds of the public sector equality</w:t>
      </w:r>
      <w:r>
        <w:rPr>
          <w:rFonts w:eastAsia="Calibri" w:cs="Arial"/>
          <w:szCs w:val="24"/>
        </w:rPr>
        <w:t xml:space="preserve"> </w:t>
      </w:r>
      <w:r w:rsidRPr="00D35166">
        <w:rPr>
          <w:rFonts w:eastAsia="Calibri" w:cs="Arial"/>
          <w:szCs w:val="24"/>
        </w:rPr>
        <w:t>duty are found at section 149 of the Equality Act 2010 and are as follows:</w:t>
      </w:r>
    </w:p>
    <w:p w14:paraId="5C79A4A1" w14:textId="77777777" w:rsidR="00D35166" w:rsidRDefault="00D35166" w:rsidP="00D35166">
      <w:pPr>
        <w:rPr>
          <w:rFonts w:eastAsia="Calibri" w:cs="Arial"/>
          <w:szCs w:val="24"/>
        </w:rPr>
      </w:pPr>
    </w:p>
    <w:p w14:paraId="033BCB54" w14:textId="17A7DDFE" w:rsidR="00D35166" w:rsidRPr="00D35166" w:rsidRDefault="00D35166" w:rsidP="00D35166">
      <w:pPr>
        <w:rPr>
          <w:rFonts w:eastAsia="Calibri" w:cs="Arial"/>
          <w:szCs w:val="24"/>
        </w:rPr>
      </w:pPr>
      <w:r w:rsidRPr="00D35166">
        <w:rPr>
          <w:rFonts w:eastAsia="Calibri" w:cs="Arial"/>
          <w:szCs w:val="24"/>
        </w:rPr>
        <w:t>A public authority must, in the exercise of its functions, have due regard to</w:t>
      </w:r>
      <w:r>
        <w:rPr>
          <w:rFonts w:eastAsia="Calibri" w:cs="Arial"/>
          <w:szCs w:val="24"/>
        </w:rPr>
        <w:t xml:space="preserve"> </w:t>
      </w:r>
      <w:r w:rsidRPr="00D35166">
        <w:rPr>
          <w:rFonts w:eastAsia="Calibri" w:cs="Arial"/>
          <w:szCs w:val="24"/>
        </w:rPr>
        <w:t>the need to:</w:t>
      </w:r>
    </w:p>
    <w:p w14:paraId="3ECDF785" w14:textId="77777777" w:rsidR="00D35166" w:rsidRDefault="00D35166" w:rsidP="00D35166">
      <w:pPr>
        <w:rPr>
          <w:rFonts w:eastAsia="Calibri" w:cs="Arial"/>
          <w:szCs w:val="24"/>
        </w:rPr>
      </w:pPr>
    </w:p>
    <w:p w14:paraId="55C24433" w14:textId="7EDDEFF0"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eliminate discrimination, harassment, victimisation and any other conduct</w:t>
      </w:r>
      <w:r w:rsidR="00D35166">
        <w:rPr>
          <w:rFonts w:eastAsia="Calibri" w:cs="Arial"/>
          <w:szCs w:val="24"/>
        </w:rPr>
        <w:t xml:space="preserve"> </w:t>
      </w:r>
      <w:r>
        <w:rPr>
          <w:rFonts w:eastAsia="Calibri" w:cs="Arial"/>
          <w:szCs w:val="24"/>
        </w:rPr>
        <w:tab/>
      </w:r>
      <w:r w:rsidR="00D35166" w:rsidRPr="00D35166">
        <w:rPr>
          <w:rFonts w:eastAsia="Calibri" w:cs="Arial"/>
          <w:szCs w:val="24"/>
        </w:rPr>
        <w:t xml:space="preserve">that is prohibited by or under this </w:t>
      </w:r>
      <w:proofErr w:type="gramStart"/>
      <w:r w:rsidR="00D35166" w:rsidRPr="00D35166">
        <w:rPr>
          <w:rFonts w:eastAsia="Calibri" w:cs="Arial"/>
          <w:szCs w:val="24"/>
        </w:rPr>
        <w:t>Act;</w:t>
      </w:r>
      <w:proofErr w:type="gramEnd"/>
    </w:p>
    <w:p w14:paraId="7C40B7B1" w14:textId="06D5F4FE"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(b) advance equality of opportunity between persons who share a relevant</w:t>
      </w:r>
      <w:r w:rsidR="00D35166">
        <w:rPr>
          <w:rFonts w:eastAsia="Calibri" w:cs="Arial"/>
          <w:szCs w:val="24"/>
        </w:rPr>
        <w:t xml:space="preserve"> </w:t>
      </w:r>
      <w:r>
        <w:rPr>
          <w:rFonts w:eastAsia="Calibri" w:cs="Arial"/>
          <w:szCs w:val="24"/>
        </w:rPr>
        <w:tab/>
      </w:r>
      <w:r w:rsidR="00D35166" w:rsidRPr="00D35166">
        <w:rPr>
          <w:rFonts w:eastAsia="Calibri" w:cs="Arial"/>
          <w:szCs w:val="24"/>
        </w:rPr>
        <w:t xml:space="preserve">protected characteristic and persons who do not share </w:t>
      </w:r>
      <w:proofErr w:type="gramStart"/>
      <w:r w:rsidR="00D35166" w:rsidRPr="00D35166">
        <w:rPr>
          <w:rFonts w:eastAsia="Calibri" w:cs="Arial"/>
          <w:szCs w:val="24"/>
        </w:rPr>
        <w:t>it;</w:t>
      </w:r>
      <w:proofErr w:type="gramEnd"/>
    </w:p>
    <w:p w14:paraId="36F3F078" w14:textId="661FD1BD"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(c) Foster good relations between persons who share a relevant protected</w:t>
      </w:r>
      <w:r w:rsidR="00D35166">
        <w:rPr>
          <w:rFonts w:eastAsia="Calibri" w:cs="Arial"/>
          <w:szCs w:val="24"/>
        </w:rPr>
        <w:t xml:space="preserve"> </w:t>
      </w:r>
      <w:r>
        <w:rPr>
          <w:rFonts w:eastAsia="Calibri" w:cs="Arial"/>
          <w:szCs w:val="24"/>
        </w:rPr>
        <w:tab/>
      </w:r>
      <w:r w:rsidR="00D35166" w:rsidRPr="00D35166">
        <w:rPr>
          <w:rFonts w:eastAsia="Calibri" w:cs="Arial"/>
          <w:szCs w:val="24"/>
        </w:rPr>
        <w:t>characteristic and persons who do not share it.</w:t>
      </w:r>
    </w:p>
    <w:p w14:paraId="79692AD7" w14:textId="77777777" w:rsidR="00D35166" w:rsidRPr="00D35166" w:rsidRDefault="00D35166" w:rsidP="00D35166">
      <w:pPr>
        <w:rPr>
          <w:rFonts w:eastAsia="Calibri" w:cs="Arial"/>
          <w:szCs w:val="24"/>
        </w:rPr>
      </w:pPr>
    </w:p>
    <w:p w14:paraId="23ED42D5" w14:textId="3E4CAEED" w:rsidR="00D35166" w:rsidRDefault="00D35166" w:rsidP="00D35166">
      <w:pPr>
        <w:rPr>
          <w:rFonts w:eastAsia="Calibri" w:cs="Arial"/>
          <w:szCs w:val="24"/>
        </w:rPr>
      </w:pPr>
      <w:r w:rsidRPr="00D35166">
        <w:rPr>
          <w:rFonts w:eastAsia="Calibri" w:cs="Arial"/>
          <w:szCs w:val="24"/>
        </w:rPr>
        <w:t>Having due regard to the need to advance equality of opportunity between</w:t>
      </w:r>
      <w:r>
        <w:rPr>
          <w:rFonts w:eastAsia="Calibri" w:cs="Arial"/>
          <w:szCs w:val="24"/>
        </w:rPr>
        <w:t xml:space="preserve"> </w:t>
      </w:r>
      <w:r w:rsidRPr="00D35166">
        <w:rPr>
          <w:rFonts w:eastAsia="Calibri" w:cs="Arial"/>
          <w:szCs w:val="24"/>
        </w:rPr>
        <w:t>persons who share a relevant protected characteristic and persons who do</w:t>
      </w:r>
      <w:r>
        <w:rPr>
          <w:rFonts w:eastAsia="Calibri" w:cs="Arial"/>
          <w:szCs w:val="24"/>
        </w:rPr>
        <w:t xml:space="preserve"> </w:t>
      </w:r>
      <w:r w:rsidRPr="00D35166">
        <w:rPr>
          <w:rFonts w:eastAsia="Calibri" w:cs="Arial"/>
          <w:szCs w:val="24"/>
        </w:rPr>
        <w:t>not share it involves having due regard</w:t>
      </w:r>
      <w:proofErr w:type="gramStart"/>
      <w:r w:rsidRPr="00D35166">
        <w:rPr>
          <w:rFonts w:eastAsia="Calibri" w:cs="Arial"/>
          <w:szCs w:val="24"/>
        </w:rPr>
        <w:t>, in particular, to</w:t>
      </w:r>
      <w:proofErr w:type="gramEnd"/>
      <w:r w:rsidRPr="00D35166">
        <w:rPr>
          <w:rFonts w:eastAsia="Calibri" w:cs="Arial"/>
          <w:szCs w:val="24"/>
        </w:rPr>
        <w:t xml:space="preserve"> the need to:</w:t>
      </w:r>
    </w:p>
    <w:p w14:paraId="1EDF943D" w14:textId="77777777" w:rsidR="00D35166" w:rsidRPr="00D35166" w:rsidRDefault="00D35166" w:rsidP="00D35166">
      <w:pPr>
        <w:rPr>
          <w:rFonts w:eastAsia="Calibri" w:cs="Arial"/>
          <w:szCs w:val="24"/>
        </w:rPr>
      </w:pPr>
    </w:p>
    <w:p w14:paraId="372A579C" w14:textId="31A5AC82"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remove or minimise disadvantages suffered by persons who share a</w:t>
      </w:r>
      <w:r w:rsidR="00D35166">
        <w:rPr>
          <w:rFonts w:eastAsia="Calibri" w:cs="Arial"/>
          <w:szCs w:val="24"/>
        </w:rPr>
        <w:t xml:space="preserve"> </w:t>
      </w:r>
      <w:r>
        <w:rPr>
          <w:rFonts w:eastAsia="Calibri" w:cs="Arial"/>
          <w:szCs w:val="24"/>
        </w:rPr>
        <w:tab/>
      </w:r>
      <w:r w:rsidR="00D35166" w:rsidRPr="00D35166">
        <w:rPr>
          <w:rFonts w:eastAsia="Calibri" w:cs="Arial"/>
          <w:szCs w:val="24"/>
        </w:rPr>
        <w:t xml:space="preserve">relevant protected characteristic that are connected to that </w:t>
      </w:r>
      <w:proofErr w:type="gramStart"/>
      <w:r w:rsidR="00D35166" w:rsidRPr="00D35166">
        <w:rPr>
          <w:rFonts w:eastAsia="Calibri" w:cs="Arial"/>
          <w:szCs w:val="24"/>
        </w:rPr>
        <w:t>characteristic;</w:t>
      </w:r>
      <w:proofErr w:type="gramEnd"/>
    </w:p>
    <w:p w14:paraId="2941C4D3" w14:textId="604B988E"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(b) take steps to meet the needs of persons who share a relevant protected</w:t>
      </w:r>
      <w:r w:rsidR="00D35166">
        <w:rPr>
          <w:rFonts w:eastAsia="Calibri" w:cs="Arial"/>
          <w:szCs w:val="24"/>
        </w:rPr>
        <w:t xml:space="preserve"> </w:t>
      </w:r>
      <w:r>
        <w:rPr>
          <w:rFonts w:eastAsia="Calibri" w:cs="Arial"/>
          <w:szCs w:val="24"/>
        </w:rPr>
        <w:tab/>
      </w:r>
      <w:r w:rsidR="00D35166" w:rsidRPr="00D35166">
        <w:rPr>
          <w:rFonts w:eastAsia="Calibri" w:cs="Arial"/>
          <w:szCs w:val="24"/>
        </w:rPr>
        <w:t>characteristic that are different from the needs of persons who do not</w:t>
      </w:r>
      <w:r w:rsidR="00D35166">
        <w:rPr>
          <w:rFonts w:eastAsia="Calibri" w:cs="Arial"/>
          <w:szCs w:val="24"/>
        </w:rPr>
        <w:t xml:space="preserve"> </w:t>
      </w:r>
      <w:r w:rsidR="00D35166" w:rsidRPr="00D35166">
        <w:rPr>
          <w:rFonts w:eastAsia="Calibri" w:cs="Arial"/>
          <w:szCs w:val="24"/>
        </w:rPr>
        <w:t xml:space="preserve">share </w:t>
      </w:r>
      <w:proofErr w:type="gramStart"/>
      <w:r w:rsidR="00D35166" w:rsidRPr="00D35166">
        <w:rPr>
          <w:rFonts w:eastAsia="Calibri" w:cs="Arial"/>
          <w:szCs w:val="24"/>
        </w:rPr>
        <w:t>it;</w:t>
      </w:r>
      <w:proofErr w:type="gramEnd"/>
    </w:p>
    <w:p w14:paraId="49BC3638" w14:textId="54AAA776"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(c) Encourage persons who share a relevant protected characteristic to</w:t>
      </w:r>
      <w:r w:rsidR="00D35166">
        <w:rPr>
          <w:rFonts w:eastAsia="Calibri" w:cs="Arial"/>
          <w:szCs w:val="24"/>
        </w:rPr>
        <w:t xml:space="preserve"> </w:t>
      </w:r>
      <w:r>
        <w:rPr>
          <w:rFonts w:eastAsia="Calibri" w:cs="Arial"/>
          <w:szCs w:val="24"/>
        </w:rPr>
        <w:tab/>
      </w:r>
      <w:r w:rsidR="00D35166" w:rsidRPr="00D35166">
        <w:rPr>
          <w:rFonts w:eastAsia="Calibri" w:cs="Arial"/>
          <w:szCs w:val="24"/>
        </w:rPr>
        <w:t>participate in public life or in any other activity in which participation by</w:t>
      </w:r>
      <w:r w:rsidR="00D35166">
        <w:rPr>
          <w:rFonts w:eastAsia="Calibri" w:cs="Arial"/>
          <w:szCs w:val="24"/>
        </w:rPr>
        <w:t xml:space="preserve"> </w:t>
      </w:r>
      <w:r w:rsidR="00D35166" w:rsidRPr="00D35166">
        <w:rPr>
          <w:rFonts w:eastAsia="Calibri" w:cs="Arial"/>
          <w:szCs w:val="24"/>
        </w:rPr>
        <w:t xml:space="preserve">such </w:t>
      </w:r>
      <w:r>
        <w:rPr>
          <w:rFonts w:eastAsia="Calibri" w:cs="Arial"/>
          <w:szCs w:val="24"/>
        </w:rPr>
        <w:tab/>
      </w:r>
      <w:r w:rsidR="00D35166" w:rsidRPr="00D35166">
        <w:rPr>
          <w:rFonts w:eastAsia="Calibri" w:cs="Arial"/>
          <w:szCs w:val="24"/>
        </w:rPr>
        <w:t>persons is disproportionately low.</w:t>
      </w:r>
    </w:p>
    <w:p w14:paraId="0B8F0F08" w14:textId="77777777" w:rsidR="00D35166" w:rsidRPr="00D35166" w:rsidRDefault="00D35166" w:rsidP="00D35166">
      <w:pPr>
        <w:rPr>
          <w:rFonts w:eastAsia="Calibri" w:cs="Arial"/>
          <w:szCs w:val="24"/>
        </w:rPr>
      </w:pPr>
    </w:p>
    <w:p w14:paraId="5478D07E" w14:textId="77777777" w:rsidR="00D35166" w:rsidRPr="00D35166" w:rsidRDefault="00D35166" w:rsidP="00D35166">
      <w:pPr>
        <w:rPr>
          <w:rFonts w:eastAsia="Calibri" w:cs="Arial"/>
          <w:szCs w:val="24"/>
        </w:rPr>
      </w:pPr>
      <w:r w:rsidRPr="00D35166">
        <w:rPr>
          <w:rFonts w:eastAsia="Calibri" w:cs="Arial"/>
          <w:szCs w:val="24"/>
        </w:rPr>
        <w:t xml:space="preserve">The steps involved in meeting the needs of disabled persons that </w:t>
      </w:r>
      <w:proofErr w:type="gramStart"/>
      <w:r w:rsidRPr="00D35166">
        <w:rPr>
          <w:rFonts w:eastAsia="Calibri" w:cs="Arial"/>
          <w:szCs w:val="24"/>
        </w:rPr>
        <w:t>are</w:t>
      </w:r>
      <w:proofErr w:type="gramEnd"/>
    </w:p>
    <w:p w14:paraId="39E35CEC" w14:textId="77777777" w:rsidR="00D35166" w:rsidRPr="00D35166" w:rsidRDefault="00D35166" w:rsidP="00D35166">
      <w:pPr>
        <w:rPr>
          <w:rFonts w:eastAsia="Calibri" w:cs="Arial"/>
          <w:szCs w:val="24"/>
        </w:rPr>
      </w:pPr>
      <w:r w:rsidRPr="00D35166">
        <w:rPr>
          <w:rFonts w:eastAsia="Calibri" w:cs="Arial"/>
          <w:szCs w:val="24"/>
        </w:rPr>
        <w:t>different from the needs of persons who are not disabled include, in</w:t>
      </w:r>
    </w:p>
    <w:p w14:paraId="4B938B1C" w14:textId="65B800C0" w:rsidR="00D35166" w:rsidRDefault="00D35166" w:rsidP="00D35166">
      <w:pPr>
        <w:rPr>
          <w:rFonts w:eastAsia="Calibri" w:cs="Arial"/>
          <w:szCs w:val="24"/>
        </w:rPr>
      </w:pPr>
      <w:proofErr w:type="gramStart"/>
      <w:r w:rsidRPr="00D35166">
        <w:rPr>
          <w:rFonts w:eastAsia="Calibri" w:cs="Arial"/>
          <w:szCs w:val="24"/>
        </w:rPr>
        <w:t>particular, steps</w:t>
      </w:r>
      <w:proofErr w:type="gramEnd"/>
      <w:r w:rsidRPr="00D35166">
        <w:rPr>
          <w:rFonts w:eastAsia="Calibri" w:cs="Arial"/>
          <w:szCs w:val="24"/>
        </w:rPr>
        <w:t xml:space="preserve"> to take account of disabled persons’ disabilities.</w:t>
      </w:r>
      <w:r>
        <w:rPr>
          <w:rFonts w:eastAsia="Calibri" w:cs="Arial"/>
          <w:szCs w:val="24"/>
        </w:rPr>
        <w:t xml:space="preserve"> </w:t>
      </w:r>
      <w:r w:rsidRPr="00D35166">
        <w:rPr>
          <w:rFonts w:eastAsia="Calibri" w:cs="Arial"/>
          <w:szCs w:val="24"/>
        </w:rPr>
        <w:t>Having due regard to the need to foster good relations between persons</w:t>
      </w:r>
      <w:r>
        <w:rPr>
          <w:rFonts w:eastAsia="Calibri" w:cs="Arial"/>
          <w:szCs w:val="24"/>
        </w:rPr>
        <w:t xml:space="preserve"> </w:t>
      </w:r>
      <w:r w:rsidRPr="00D35166">
        <w:rPr>
          <w:rFonts w:eastAsia="Calibri" w:cs="Arial"/>
          <w:szCs w:val="24"/>
        </w:rPr>
        <w:t>who share a relevant protected characteristic and persons who do not</w:t>
      </w:r>
      <w:r>
        <w:rPr>
          <w:rFonts w:eastAsia="Calibri" w:cs="Arial"/>
          <w:szCs w:val="24"/>
        </w:rPr>
        <w:t xml:space="preserve"> </w:t>
      </w:r>
      <w:r w:rsidRPr="00D35166">
        <w:rPr>
          <w:rFonts w:eastAsia="Calibri" w:cs="Arial"/>
          <w:szCs w:val="24"/>
        </w:rPr>
        <w:t>share it involves having due regard</w:t>
      </w:r>
      <w:proofErr w:type="gramStart"/>
      <w:r w:rsidRPr="00D35166">
        <w:rPr>
          <w:rFonts w:eastAsia="Calibri" w:cs="Arial"/>
          <w:szCs w:val="24"/>
        </w:rPr>
        <w:t xml:space="preserve">, in </w:t>
      </w:r>
      <w:r>
        <w:rPr>
          <w:rFonts w:eastAsia="Calibri" w:cs="Arial"/>
          <w:szCs w:val="24"/>
        </w:rPr>
        <w:t>p</w:t>
      </w:r>
      <w:r w:rsidRPr="00D35166">
        <w:rPr>
          <w:rFonts w:eastAsia="Calibri" w:cs="Arial"/>
          <w:szCs w:val="24"/>
        </w:rPr>
        <w:t>articular, to</w:t>
      </w:r>
      <w:proofErr w:type="gramEnd"/>
      <w:r w:rsidRPr="00D35166">
        <w:rPr>
          <w:rFonts w:eastAsia="Calibri" w:cs="Arial"/>
          <w:szCs w:val="24"/>
        </w:rPr>
        <w:t xml:space="preserve"> the need to:</w:t>
      </w:r>
    </w:p>
    <w:p w14:paraId="4DFCB2FB" w14:textId="77777777" w:rsidR="00D35166" w:rsidRPr="00D35166" w:rsidRDefault="00D35166" w:rsidP="00D35166">
      <w:pPr>
        <w:rPr>
          <w:rFonts w:eastAsia="Calibri" w:cs="Arial"/>
          <w:szCs w:val="24"/>
        </w:rPr>
      </w:pPr>
    </w:p>
    <w:p w14:paraId="764CA0BD" w14:textId="31E749A9"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Tackle prejudice, and</w:t>
      </w:r>
    </w:p>
    <w:p w14:paraId="74BF5E41" w14:textId="1101B289"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(b) Promote understanding.</w:t>
      </w:r>
    </w:p>
    <w:p w14:paraId="1409A768" w14:textId="77777777" w:rsidR="00D35166" w:rsidRPr="00D35166" w:rsidRDefault="00D35166" w:rsidP="00D35166">
      <w:pPr>
        <w:rPr>
          <w:rFonts w:eastAsia="Calibri" w:cs="Arial"/>
          <w:szCs w:val="24"/>
        </w:rPr>
      </w:pPr>
    </w:p>
    <w:p w14:paraId="14168C38" w14:textId="77777777" w:rsidR="00603942" w:rsidRDefault="00D35166" w:rsidP="00603942">
      <w:pPr>
        <w:rPr>
          <w:rFonts w:eastAsia="Calibri" w:cs="Arial"/>
          <w:szCs w:val="24"/>
        </w:rPr>
      </w:pPr>
      <w:r w:rsidRPr="00D35166">
        <w:rPr>
          <w:rFonts w:eastAsia="Calibri" w:cs="Arial"/>
          <w:szCs w:val="24"/>
        </w:rPr>
        <w:t>Compliance with the duties in this section may involve treating some</w:t>
      </w:r>
      <w:r>
        <w:rPr>
          <w:rFonts w:eastAsia="Calibri" w:cs="Arial"/>
          <w:szCs w:val="24"/>
        </w:rPr>
        <w:t xml:space="preserve"> </w:t>
      </w:r>
      <w:r w:rsidRPr="00D35166">
        <w:rPr>
          <w:rFonts w:eastAsia="Calibri" w:cs="Arial"/>
          <w:szCs w:val="24"/>
        </w:rPr>
        <w:t>persons more favourably than others; but that is not to be taken as</w:t>
      </w:r>
      <w:r>
        <w:rPr>
          <w:rFonts w:eastAsia="Calibri" w:cs="Arial"/>
          <w:szCs w:val="24"/>
        </w:rPr>
        <w:t xml:space="preserve"> </w:t>
      </w:r>
      <w:r w:rsidRPr="00D35166">
        <w:rPr>
          <w:rFonts w:eastAsia="Calibri" w:cs="Arial"/>
          <w:szCs w:val="24"/>
        </w:rPr>
        <w:t>permitting conduct that would otherwise be prohibited by or under this Act.</w:t>
      </w:r>
      <w:r>
        <w:rPr>
          <w:rFonts w:eastAsia="Calibri" w:cs="Arial"/>
          <w:szCs w:val="24"/>
        </w:rPr>
        <w:t xml:space="preserve"> </w:t>
      </w:r>
      <w:r w:rsidRPr="00D35166">
        <w:rPr>
          <w:rFonts w:eastAsia="Calibri" w:cs="Arial"/>
          <w:szCs w:val="24"/>
        </w:rPr>
        <w:t>The relevant protected characteristics are:</w:t>
      </w:r>
    </w:p>
    <w:p w14:paraId="54256EAC" w14:textId="77777777" w:rsidR="00603942" w:rsidRDefault="00D35166" w:rsidP="00603942">
      <w:pPr>
        <w:pStyle w:val="ListParagraph"/>
        <w:numPr>
          <w:ilvl w:val="0"/>
          <w:numId w:val="21"/>
        </w:numPr>
        <w:rPr>
          <w:szCs w:val="24"/>
        </w:rPr>
      </w:pPr>
      <w:r w:rsidRPr="00603942">
        <w:rPr>
          <w:szCs w:val="24"/>
        </w:rPr>
        <w:t>Age</w:t>
      </w:r>
    </w:p>
    <w:p w14:paraId="7D3AD4A0" w14:textId="77777777" w:rsidR="00603942" w:rsidRDefault="00D35166" w:rsidP="00603942">
      <w:pPr>
        <w:pStyle w:val="ListParagraph"/>
        <w:numPr>
          <w:ilvl w:val="0"/>
          <w:numId w:val="21"/>
        </w:numPr>
        <w:rPr>
          <w:szCs w:val="24"/>
        </w:rPr>
      </w:pPr>
      <w:r w:rsidRPr="00603942">
        <w:rPr>
          <w:szCs w:val="24"/>
        </w:rPr>
        <w:t>Disability</w:t>
      </w:r>
    </w:p>
    <w:p w14:paraId="62F9A705" w14:textId="77777777" w:rsidR="00603942" w:rsidRDefault="00D35166" w:rsidP="00603942">
      <w:pPr>
        <w:pStyle w:val="ListParagraph"/>
        <w:numPr>
          <w:ilvl w:val="0"/>
          <w:numId w:val="21"/>
        </w:numPr>
        <w:rPr>
          <w:szCs w:val="24"/>
        </w:rPr>
      </w:pPr>
      <w:r w:rsidRPr="00603942">
        <w:rPr>
          <w:szCs w:val="24"/>
        </w:rPr>
        <w:t>Gender reassignment</w:t>
      </w:r>
    </w:p>
    <w:p w14:paraId="13FEC87D" w14:textId="77777777" w:rsidR="00603942" w:rsidRDefault="00D35166" w:rsidP="00603942">
      <w:pPr>
        <w:pStyle w:val="ListParagraph"/>
        <w:numPr>
          <w:ilvl w:val="0"/>
          <w:numId w:val="21"/>
        </w:numPr>
        <w:rPr>
          <w:szCs w:val="24"/>
        </w:rPr>
      </w:pPr>
      <w:r w:rsidRPr="00603942">
        <w:rPr>
          <w:szCs w:val="24"/>
        </w:rPr>
        <w:t>Pregnancy and maternity</w:t>
      </w:r>
    </w:p>
    <w:p w14:paraId="278392E7" w14:textId="77777777" w:rsidR="00603942" w:rsidRDefault="00D35166" w:rsidP="00603942">
      <w:pPr>
        <w:pStyle w:val="ListParagraph"/>
        <w:numPr>
          <w:ilvl w:val="0"/>
          <w:numId w:val="21"/>
        </w:numPr>
        <w:rPr>
          <w:szCs w:val="24"/>
        </w:rPr>
      </w:pPr>
      <w:r w:rsidRPr="00603942">
        <w:rPr>
          <w:szCs w:val="24"/>
        </w:rPr>
        <w:t>Race</w:t>
      </w:r>
    </w:p>
    <w:p w14:paraId="1A9A8A26" w14:textId="77777777" w:rsidR="00603942" w:rsidRDefault="00D35166" w:rsidP="00603942">
      <w:pPr>
        <w:pStyle w:val="ListParagraph"/>
        <w:numPr>
          <w:ilvl w:val="0"/>
          <w:numId w:val="21"/>
        </w:numPr>
        <w:rPr>
          <w:szCs w:val="24"/>
        </w:rPr>
      </w:pPr>
      <w:r w:rsidRPr="00603942">
        <w:rPr>
          <w:szCs w:val="24"/>
        </w:rPr>
        <w:t>Religion or belief</w:t>
      </w:r>
    </w:p>
    <w:p w14:paraId="1D3BE3FC" w14:textId="77777777" w:rsidR="00603942" w:rsidRDefault="00D35166" w:rsidP="00603942">
      <w:pPr>
        <w:pStyle w:val="ListParagraph"/>
        <w:numPr>
          <w:ilvl w:val="0"/>
          <w:numId w:val="21"/>
        </w:numPr>
        <w:rPr>
          <w:szCs w:val="24"/>
        </w:rPr>
      </w:pPr>
      <w:r w:rsidRPr="00603942">
        <w:rPr>
          <w:szCs w:val="24"/>
        </w:rPr>
        <w:t>Sex</w:t>
      </w:r>
    </w:p>
    <w:p w14:paraId="05410479" w14:textId="77777777" w:rsidR="00603942" w:rsidRDefault="00D35166" w:rsidP="00603942">
      <w:pPr>
        <w:pStyle w:val="ListParagraph"/>
        <w:numPr>
          <w:ilvl w:val="0"/>
          <w:numId w:val="21"/>
        </w:numPr>
        <w:rPr>
          <w:szCs w:val="24"/>
        </w:rPr>
      </w:pPr>
      <w:r w:rsidRPr="00603942">
        <w:rPr>
          <w:szCs w:val="24"/>
        </w:rPr>
        <w:t>Sexual orientation</w:t>
      </w:r>
    </w:p>
    <w:p w14:paraId="7FE2736C" w14:textId="1DA60601" w:rsidR="00D35166" w:rsidRPr="00603942" w:rsidRDefault="00D35166" w:rsidP="00603942">
      <w:pPr>
        <w:pStyle w:val="ListParagraph"/>
        <w:numPr>
          <w:ilvl w:val="0"/>
          <w:numId w:val="21"/>
        </w:numPr>
        <w:rPr>
          <w:szCs w:val="24"/>
        </w:rPr>
      </w:pPr>
      <w:r w:rsidRPr="00603942">
        <w:rPr>
          <w:szCs w:val="24"/>
        </w:rPr>
        <w:t>Marriage and Civil partnership</w:t>
      </w:r>
    </w:p>
    <w:p w14:paraId="1B8F1E85" w14:textId="77777777" w:rsidR="00D35166" w:rsidRPr="00603942" w:rsidRDefault="00D35166" w:rsidP="00603942">
      <w:pPr>
        <w:ind w:left="2520"/>
        <w:rPr>
          <w:rFonts w:eastAsia="Calibri"/>
          <w:szCs w:val="24"/>
        </w:rPr>
      </w:pPr>
    </w:p>
    <w:p w14:paraId="2BF3C78C" w14:textId="633E4062" w:rsidR="001861FB" w:rsidRPr="00DA5073" w:rsidRDefault="00D35166" w:rsidP="00DA5073">
      <w:pPr>
        <w:rPr>
          <w:rFonts w:eastAsia="Calibri" w:cs="Arial"/>
          <w:szCs w:val="24"/>
        </w:rPr>
      </w:pPr>
      <w:r w:rsidRPr="00D35166">
        <w:rPr>
          <w:rFonts w:eastAsia="Calibri" w:cs="Arial"/>
          <w:szCs w:val="24"/>
        </w:rPr>
        <w:lastRenderedPageBreak/>
        <w:t xml:space="preserve">The </w:t>
      </w:r>
      <w:r w:rsidR="00AC2D79">
        <w:rPr>
          <w:rFonts w:eastAsia="Calibri" w:cs="Arial"/>
          <w:szCs w:val="24"/>
        </w:rPr>
        <w:t xml:space="preserve">Internal </w:t>
      </w:r>
      <w:r w:rsidRPr="00D35166">
        <w:rPr>
          <w:rFonts w:eastAsia="Calibri" w:cs="Arial"/>
          <w:szCs w:val="24"/>
        </w:rPr>
        <w:t xml:space="preserve">Audit plan will have positive equalities impacts for example ensuring and </w:t>
      </w:r>
      <w:r w:rsidR="00603942">
        <w:rPr>
          <w:rFonts w:eastAsia="Calibri" w:cs="Arial"/>
          <w:szCs w:val="24"/>
        </w:rPr>
        <w:t>m</w:t>
      </w:r>
      <w:r w:rsidRPr="00D35166">
        <w:rPr>
          <w:rFonts w:eastAsia="Calibri" w:cs="Arial"/>
          <w:szCs w:val="24"/>
        </w:rPr>
        <w:t>easuring compliance with HR policies and the financial management of schools to give two examples.</w:t>
      </w:r>
    </w:p>
    <w:p w14:paraId="1EF4F8CB" w14:textId="46BBC14F" w:rsidR="004B4A47" w:rsidRPr="00CD57D8" w:rsidRDefault="00AC0AAB" w:rsidP="00912904">
      <w:pPr>
        <w:pStyle w:val="Heading2"/>
        <w:spacing w:after="240"/>
      </w:pPr>
      <w:r>
        <w:t xml:space="preserve">Council </w:t>
      </w:r>
      <w:r w:rsidR="004B4A47" w:rsidRPr="00CD57D8">
        <w:t>Priorities</w:t>
      </w:r>
    </w:p>
    <w:p w14:paraId="30146FD2" w14:textId="77777777" w:rsidR="00486F28" w:rsidRPr="00E37570" w:rsidRDefault="00486F28" w:rsidP="00E37570">
      <w:pPr>
        <w:pStyle w:val="ListParagraph"/>
        <w:rPr>
          <w:rFonts w:ascii="Arial Bold" w:hAnsi="Arial Bold"/>
          <w:b/>
          <w:sz w:val="24"/>
        </w:rPr>
      </w:pPr>
    </w:p>
    <w:p w14:paraId="48B1208E" w14:textId="3C938B69" w:rsidR="00E37570" w:rsidRPr="00E37570" w:rsidRDefault="00E17E56" w:rsidP="00E37570">
      <w:pPr>
        <w:outlineLvl w:val="1"/>
        <w:rPr>
          <w:rFonts w:cs="Arial"/>
          <w:bCs/>
          <w:szCs w:val="24"/>
          <w:lang w:val="en-US"/>
        </w:rPr>
      </w:pPr>
      <w:r>
        <w:rPr>
          <w:rFonts w:cs="Arial"/>
          <w:bCs/>
          <w:szCs w:val="24"/>
          <w:lang w:val="en-US"/>
        </w:rPr>
        <w:t>T</w:t>
      </w:r>
      <w:r w:rsidR="00E37570" w:rsidRPr="00E37570">
        <w:rPr>
          <w:rFonts w:cs="Arial"/>
          <w:bCs/>
          <w:szCs w:val="24"/>
          <w:lang w:val="en-US"/>
        </w:rPr>
        <w:t>he Corporate Anti-Fraud Team contribute</w:t>
      </w:r>
      <w:r>
        <w:rPr>
          <w:rFonts w:cs="Arial"/>
          <w:bCs/>
          <w:szCs w:val="24"/>
          <w:lang w:val="en-US"/>
        </w:rPr>
        <w:t>s</w:t>
      </w:r>
      <w:r w:rsidR="00E37570" w:rsidRPr="00E37570">
        <w:rPr>
          <w:rFonts w:cs="Arial"/>
          <w:bCs/>
          <w:szCs w:val="24"/>
          <w:lang w:val="en-US"/>
        </w:rPr>
        <w:t xml:space="preserve"> to all the corporate priorities by enhancing the robustness of the control environment and governance mechanisms that directly or indirectly support the priorities.</w:t>
      </w:r>
    </w:p>
    <w:p w14:paraId="16C5AA49" w14:textId="77777777" w:rsidR="00E37570" w:rsidRPr="00E37570" w:rsidRDefault="00E37570" w:rsidP="00E37570">
      <w:pPr>
        <w:autoSpaceDE w:val="0"/>
        <w:autoSpaceDN w:val="0"/>
        <w:contextualSpacing/>
        <w:rPr>
          <w:rFonts w:ascii="Arial Bold" w:hAnsi="Arial Bold"/>
          <w:b/>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639B6F2" w:rsidR="00912904" w:rsidRPr="00DA5073" w:rsidRDefault="00912904" w:rsidP="00912904">
      <w:pPr>
        <w:rPr>
          <w:sz w:val="28"/>
          <w:szCs w:val="28"/>
        </w:rPr>
      </w:pPr>
      <w:r w:rsidRPr="00DA5073">
        <w:rPr>
          <w:b/>
          <w:sz w:val="28"/>
          <w:szCs w:val="28"/>
        </w:rPr>
        <w:t xml:space="preserve">Statutory Officer:  </w:t>
      </w:r>
      <w:r w:rsidR="00671E0E">
        <w:rPr>
          <w:b/>
          <w:sz w:val="28"/>
          <w:szCs w:val="28"/>
        </w:rPr>
        <w:t>Sharon Daniels</w:t>
      </w:r>
    </w:p>
    <w:p w14:paraId="57640BD9" w14:textId="07320856" w:rsidR="00912904" w:rsidRDefault="00562E31" w:rsidP="00912904">
      <w:r w:rsidRPr="00562E31">
        <w:rPr>
          <w:rFonts w:cs="Arial"/>
          <w:szCs w:val="24"/>
        </w:rPr>
        <w:t>Interim Director of Finance &amp; Assurance</w:t>
      </w:r>
      <w:r w:rsidR="0074093C">
        <w:t xml:space="preserve">, </w:t>
      </w:r>
      <w:r w:rsidR="00671E0E">
        <w:t>Sharon Daniels</w:t>
      </w:r>
    </w:p>
    <w:p w14:paraId="0B1912C2" w14:textId="77777777" w:rsidR="0074093C" w:rsidRPr="00A66326" w:rsidRDefault="0074093C" w:rsidP="00912904"/>
    <w:p w14:paraId="5745A2E3" w14:textId="7E9441AF" w:rsidR="00912904" w:rsidRPr="00A66326" w:rsidRDefault="00912904" w:rsidP="00912904">
      <w:pPr>
        <w:spacing w:after="480"/>
        <w:rPr>
          <w:sz w:val="28"/>
        </w:rPr>
      </w:pPr>
      <w:r w:rsidRPr="00A66326">
        <w:rPr>
          <w:b/>
          <w:sz w:val="28"/>
        </w:rPr>
        <w:t xml:space="preserve">Date: </w:t>
      </w:r>
      <w:r w:rsidR="00764BBE" w:rsidRPr="007A6160">
        <w:rPr>
          <w:bCs/>
          <w:sz w:val="28"/>
        </w:rPr>
        <w:t>0</w:t>
      </w:r>
      <w:r w:rsidR="00A13A5D">
        <w:rPr>
          <w:bCs/>
          <w:sz w:val="28"/>
        </w:rPr>
        <w:t>6</w:t>
      </w:r>
      <w:r w:rsidR="008C220E" w:rsidRPr="007A6160">
        <w:rPr>
          <w:bCs/>
          <w:sz w:val="28"/>
        </w:rPr>
        <w:t>/</w:t>
      </w:r>
      <w:r w:rsidR="00C77F72" w:rsidRPr="007A6160">
        <w:rPr>
          <w:bCs/>
          <w:sz w:val="28"/>
        </w:rPr>
        <w:t>0</w:t>
      </w:r>
      <w:r w:rsidR="00764BBE" w:rsidRPr="007A6160">
        <w:rPr>
          <w:bCs/>
          <w:sz w:val="28"/>
        </w:rPr>
        <w:t>9</w:t>
      </w:r>
      <w:r w:rsidR="008C220E" w:rsidRPr="007A6160">
        <w:rPr>
          <w:bCs/>
          <w:sz w:val="28"/>
        </w:rPr>
        <w:t>/2</w:t>
      </w:r>
      <w:r w:rsidR="00C77F72" w:rsidRPr="007A6160">
        <w:rPr>
          <w:bCs/>
          <w:sz w:val="28"/>
        </w:rPr>
        <w:t>3</w:t>
      </w:r>
    </w:p>
    <w:p w14:paraId="48732460" w14:textId="751F19CF" w:rsidR="00DA5073" w:rsidRDefault="00DA5073" w:rsidP="00912904">
      <w:pPr>
        <w:rPr>
          <w:b/>
          <w:sz w:val="28"/>
        </w:rPr>
      </w:pPr>
      <w:r>
        <w:rPr>
          <w:b/>
          <w:sz w:val="28"/>
        </w:rPr>
        <w:t xml:space="preserve">Chief Officer:  </w:t>
      </w:r>
      <w:r w:rsidR="00764BBE">
        <w:rPr>
          <w:b/>
          <w:sz w:val="28"/>
        </w:rPr>
        <w:t>Sharon Daniels</w:t>
      </w:r>
    </w:p>
    <w:p w14:paraId="40C4D913" w14:textId="479C9184" w:rsidR="00DA5073" w:rsidRPr="00DA5073" w:rsidRDefault="00562E31" w:rsidP="00912904">
      <w:pPr>
        <w:rPr>
          <w:bCs/>
          <w:szCs w:val="24"/>
        </w:rPr>
      </w:pPr>
      <w:r w:rsidRPr="00562E31">
        <w:rPr>
          <w:rFonts w:cs="Arial"/>
          <w:szCs w:val="24"/>
        </w:rPr>
        <w:t>Interim Director of Finance &amp; Assurance</w:t>
      </w:r>
      <w:r w:rsidR="00DA5073" w:rsidRPr="00DA5073">
        <w:rPr>
          <w:bCs/>
          <w:szCs w:val="24"/>
        </w:rPr>
        <w:t xml:space="preserve">, </w:t>
      </w:r>
      <w:r w:rsidR="004B5CA2">
        <w:rPr>
          <w:bCs/>
          <w:szCs w:val="24"/>
        </w:rPr>
        <w:t>Sharon Daniels</w:t>
      </w:r>
    </w:p>
    <w:p w14:paraId="570CD839" w14:textId="77777777" w:rsidR="00DA5073" w:rsidRDefault="00DA5073" w:rsidP="00912904">
      <w:pPr>
        <w:rPr>
          <w:b/>
          <w:sz w:val="28"/>
        </w:rPr>
      </w:pPr>
    </w:p>
    <w:p w14:paraId="4C216121" w14:textId="1D5EC369" w:rsidR="00DA5073" w:rsidRDefault="00DA5073" w:rsidP="00912904">
      <w:pPr>
        <w:rPr>
          <w:b/>
          <w:sz w:val="28"/>
        </w:rPr>
      </w:pPr>
      <w:r>
        <w:rPr>
          <w:b/>
          <w:sz w:val="28"/>
        </w:rPr>
        <w:t xml:space="preserve">Date:  </w:t>
      </w:r>
      <w:r w:rsidR="00671E0E">
        <w:rPr>
          <w:bCs/>
          <w:sz w:val="28"/>
        </w:rPr>
        <w:t>0</w:t>
      </w:r>
      <w:r w:rsidR="00A13A5D">
        <w:rPr>
          <w:bCs/>
          <w:sz w:val="28"/>
        </w:rPr>
        <w:t>6</w:t>
      </w:r>
      <w:r w:rsidRPr="00DA5073">
        <w:rPr>
          <w:bCs/>
          <w:sz w:val="28"/>
        </w:rPr>
        <w:t>/0</w:t>
      </w:r>
      <w:r w:rsidR="007A6160">
        <w:rPr>
          <w:bCs/>
          <w:sz w:val="28"/>
        </w:rPr>
        <w:t>9</w:t>
      </w:r>
      <w:r w:rsidRPr="00DA5073">
        <w:rPr>
          <w:bCs/>
          <w:sz w:val="28"/>
        </w:rPr>
        <w:t>/23</w:t>
      </w:r>
      <w:r>
        <w:rPr>
          <w:b/>
          <w:sz w:val="28"/>
        </w:rPr>
        <w:t xml:space="preserve">  </w:t>
      </w:r>
    </w:p>
    <w:p w14:paraId="357E9FC8" w14:textId="77777777" w:rsidR="00DA5073" w:rsidRDefault="00DA5073" w:rsidP="00912904">
      <w:pPr>
        <w:rPr>
          <w:b/>
          <w:sz w:val="28"/>
        </w:rPr>
      </w:pPr>
    </w:p>
    <w:p w14:paraId="686CE5D8" w14:textId="126FAD37" w:rsidR="00912904" w:rsidRPr="00435B5D" w:rsidRDefault="00912904" w:rsidP="00912904">
      <w:pPr>
        <w:pStyle w:val="Heading2"/>
        <w:spacing w:after="240"/>
      </w:pPr>
      <w:r>
        <w:t>Mandatory Checks</w:t>
      </w:r>
    </w:p>
    <w:p w14:paraId="34BA8136" w14:textId="7186E699" w:rsidR="00912904" w:rsidRPr="00E90AFF" w:rsidRDefault="00912904" w:rsidP="00E90AFF">
      <w:pPr>
        <w:pStyle w:val="Heading3"/>
        <w:ind w:left="0" w:firstLine="0"/>
        <w:rPr>
          <w:sz w:val="28"/>
        </w:rPr>
      </w:pPr>
      <w:r w:rsidRPr="00E90AFF">
        <w:rPr>
          <w:sz w:val="28"/>
        </w:rPr>
        <w:t xml:space="preserve">Ward Councillors notified:  NO, as it impacts on all </w:t>
      </w:r>
      <w:proofErr w:type="gramStart"/>
      <w:r w:rsidRPr="00E90AFF">
        <w:rPr>
          <w:sz w:val="28"/>
        </w:rPr>
        <w:t>Wards</w:t>
      </w:r>
      <w:proofErr w:type="gramEnd"/>
      <w:r w:rsidRPr="00E90AFF">
        <w:rPr>
          <w:sz w:val="28"/>
        </w:rPr>
        <w:t xml:space="preserve"> </w:t>
      </w:r>
    </w:p>
    <w:p w14:paraId="71FBC41D" w14:textId="4E6771D5"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1C4BF2D4" w14:textId="536AEE3C" w:rsidR="002A2389" w:rsidRDefault="002A2389">
      <w:pPr>
        <w:pStyle w:val="Infotext"/>
      </w:pPr>
      <w:r w:rsidRPr="00D914D2">
        <w:rPr>
          <w:b/>
        </w:rPr>
        <w:t>Contact:</w:t>
      </w:r>
      <w:r>
        <w:t xml:space="preserve">  </w:t>
      </w:r>
      <w:r w:rsidR="00136D37">
        <w:t xml:space="preserve">Justin Phillips, </w:t>
      </w:r>
      <w:r w:rsidR="00486F28">
        <w:t>Corporate Anti-Fraud</w:t>
      </w:r>
      <w:r w:rsidR="00136D37">
        <w:t xml:space="preserve"> Manager</w:t>
      </w:r>
      <w:r w:rsidR="00486F28">
        <w:t>, 020842</w:t>
      </w:r>
      <w:r w:rsidR="00136D37">
        <w:t>41609</w:t>
      </w:r>
    </w:p>
    <w:p w14:paraId="28AF6FE8" w14:textId="3E143B46" w:rsidR="002A2389" w:rsidRDefault="002A2389" w:rsidP="00912904">
      <w:pPr>
        <w:pStyle w:val="Infotext"/>
        <w:spacing w:before="360"/>
      </w:pPr>
      <w:r w:rsidRPr="00D914D2">
        <w:rPr>
          <w:b/>
        </w:rPr>
        <w:t>Background Papers</w:t>
      </w:r>
      <w:r>
        <w:t xml:space="preserve">:  </w:t>
      </w:r>
      <w:r w:rsidR="00486F28">
        <w:t>None</w:t>
      </w:r>
      <w:r>
        <w:rPr>
          <w:rFonts w:cs="Arial"/>
          <w:sz w:val="24"/>
        </w:rPr>
        <w:t>.</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77777777" w:rsidR="00912904" w:rsidRDefault="00912904">
      <w:pPr>
        <w:pStyle w:val="Infotext"/>
        <w:tabs>
          <w:tab w:val="left" w:pos="656"/>
          <w:tab w:val="left" w:pos="6399"/>
        </w:tabs>
      </w:pPr>
      <w:r>
        <w:t>1.</w:t>
      </w:r>
      <w:r>
        <w:tab/>
        <w:t xml:space="preserve">Consultation </w:t>
      </w:r>
      <w:r>
        <w:tab/>
        <w:t xml:space="preserve">YES / </w:t>
      </w:r>
      <w:r w:rsidRPr="00486F28">
        <w:rPr>
          <w:strike/>
        </w:rPr>
        <w:t>NO</w:t>
      </w:r>
    </w:p>
    <w:p w14:paraId="0AC2AC5C" w14:textId="77777777" w:rsidR="00912904" w:rsidRDefault="00912904">
      <w:pPr>
        <w:pStyle w:val="Infotext"/>
        <w:tabs>
          <w:tab w:val="left" w:pos="656"/>
          <w:tab w:val="left" w:pos="6399"/>
        </w:tabs>
      </w:pPr>
      <w:r>
        <w:t>2.</w:t>
      </w:r>
      <w:r>
        <w:tab/>
        <w:t>Priorities</w:t>
      </w:r>
      <w:r>
        <w:tab/>
        <w:t xml:space="preserve">YES / </w:t>
      </w:r>
      <w:r w:rsidRPr="00486F28">
        <w:rPr>
          <w:strike/>
        </w:rPr>
        <w:t>NO</w:t>
      </w:r>
      <w:r>
        <w:t xml:space="preserve"> </w:t>
      </w:r>
    </w:p>
    <w:p w14:paraId="695B009D" w14:textId="77777777" w:rsidR="002A2389" w:rsidRDefault="002A2389"/>
    <w:sectPr w:rsidR="002A2389" w:rsidSect="00D35166">
      <w:type w:val="continuous"/>
      <w:pgSz w:w="11909" w:h="16834" w:code="9"/>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328D" w14:textId="77777777" w:rsidR="00CA5128" w:rsidRDefault="00CA5128">
      <w:r>
        <w:separator/>
      </w:r>
    </w:p>
  </w:endnote>
  <w:endnote w:type="continuationSeparator" w:id="0">
    <w:p w14:paraId="124DEBE8" w14:textId="77777777" w:rsidR="00CA5128" w:rsidRDefault="00CA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1739" w14:textId="77777777" w:rsidR="00CA5128" w:rsidRDefault="00CA5128">
      <w:r>
        <w:separator/>
      </w:r>
    </w:p>
  </w:footnote>
  <w:footnote w:type="continuationSeparator" w:id="0">
    <w:p w14:paraId="70949F7E" w14:textId="77777777" w:rsidR="00CA5128" w:rsidRDefault="00CA5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3147A"/>
    <w:multiLevelType w:val="hybridMultilevel"/>
    <w:tmpl w:val="FF3096A4"/>
    <w:lvl w:ilvl="0" w:tplc="1F020A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974"/>
    <w:multiLevelType w:val="hybridMultilevel"/>
    <w:tmpl w:val="625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A7AEC"/>
    <w:multiLevelType w:val="hybridMultilevel"/>
    <w:tmpl w:val="B6EC2E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208E2F14"/>
    <w:multiLevelType w:val="hybridMultilevel"/>
    <w:tmpl w:val="D0029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E91965"/>
    <w:multiLevelType w:val="hybridMultilevel"/>
    <w:tmpl w:val="D9E002C2"/>
    <w:lvl w:ilvl="0" w:tplc="1F020AB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FA6125"/>
    <w:multiLevelType w:val="hybridMultilevel"/>
    <w:tmpl w:val="2F76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C41B8"/>
    <w:multiLevelType w:val="multilevel"/>
    <w:tmpl w:val="F90E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47E11"/>
    <w:multiLevelType w:val="hybridMultilevel"/>
    <w:tmpl w:val="4C8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D5EFF"/>
    <w:multiLevelType w:val="hybridMultilevel"/>
    <w:tmpl w:val="4F9E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746940">
    <w:abstractNumId w:val="22"/>
  </w:num>
  <w:num w:numId="2" w16cid:durableId="1160344992">
    <w:abstractNumId w:val="15"/>
  </w:num>
  <w:num w:numId="3" w16cid:durableId="1673532321">
    <w:abstractNumId w:val="21"/>
  </w:num>
  <w:num w:numId="4" w16cid:durableId="1869250025">
    <w:abstractNumId w:val="1"/>
  </w:num>
  <w:num w:numId="5" w16cid:durableId="4950698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5706730">
    <w:abstractNumId w:val="10"/>
  </w:num>
  <w:num w:numId="7" w16cid:durableId="1230536608">
    <w:abstractNumId w:val="13"/>
  </w:num>
  <w:num w:numId="8" w16cid:durableId="1583486417">
    <w:abstractNumId w:val="6"/>
  </w:num>
  <w:num w:numId="9" w16cid:durableId="1277713235">
    <w:abstractNumId w:val="5"/>
  </w:num>
  <w:num w:numId="10" w16cid:durableId="1432511162">
    <w:abstractNumId w:val="20"/>
  </w:num>
  <w:num w:numId="11" w16cid:durableId="588083064">
    <w:abstractNumId w:val="23"/>
  </w:num>
  <w:num w:numId="12" w16cid:durableId="1557159505">
    <w:abstractNumId w:val="17"/>
  </w:num>
  <w:num w:numId="13" w16cid:durableId="1543439300">
    <w:abstractNumId w:val="3"/>
  </w:num>
  <w:num w:numId="14" w16cid:durableId="336425125">
    <w:abstractNumId w:val="9"/>
  </w:num>
  <w:num w:numId="15" w16cid:durableId="1069889322">
    <w:abstractNumId w:val="14"/>
  </w:num>
  <w:num w:numId="16" w16cid:durableId="1149175899">
    <w:abstractNumId w:val="19"/>
  </w:num>
  <w:num w:numId="17" w16cid:durableId="288633086">
    <w:abstractNumId w:val="7"/>
  </w:num>
  <w:num w:numId="18" w16cid:durableId="2142577774">
    <w:abstractNumId w:val="8"/>
  </w:num>
  <w:num w:numId="19" w16cid:durableId="81294194">
    <w:abstractNumId w:val="0"/>
  </w:num>
  <w:num w:numId="20" w16cid:durableId="911429125">
    <w:abstractNumId w:val="18"/>
  </w:num>
  <w:num w:numId="21" w16cid:durableId="1816606092">
    <w:abstractNumId w:val="12"/>
  </w:num>
  <w:num w:numId="22" w16cid:durableId="1082334310">
    <w:abstractNumId w:val="4"/>
  </w:num>
  <w:num w:numId="23" w16cid:durableId="2088110812">
    <w:abstractNumId w:val="2"/>
  </w:num>
  <w:num w:numId="24" w16cid:durableId="1622881335">
    <w:abstractNumId w:val="11"/>
  </w:num>
  <w:num w:numId="25" w16cid:durableId="511381610">
    <w:abstractNumId w:val="1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16cid:durableId="1884946717">
    <w:abstractNumId w:val="1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16cid:durableId="1893536337">
    <w:abstractNumId w:val="1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3EF5"/>
    <w:rsid w:val="000138D0"/>
    <w:rsid w:val="00016638"/>
    <w:rsid w:val="00023F4C"/>
    <w:rsid w:val="00025723"/>
    <w:rsid w:val="0005203C"/>
    <w:rsid w:val="00057F10"/>
    <w:rsid w:val="000633A2"/>
    <w:rsid w:val="00071EB4"/>
    <w:rsid w:val="00072A96"/>
    <w:rsid w:val="00077298"/>
    <w:rsid w:val="00082020"/>
    <w:rsid w:val="00082545"/>
    <w:rsid w:val="000A2BFD"/>
    <w:rsid w:val="000A58A1"/>
    <w:rsid w:val="000A6659"/>
    <w:rsid w:val="000B0E6F"/>
    <w:rsid w:val="000B6DBB"/>
    <w:rsid w:val="000D2BF2"/>
    <w:rsid w:val="000D5870"/>
    <w:rsid w:val="000E7950"/>
    <w:rsid w:val="000F65C0"/>
    <w:rsid w:val="00114BFA"/>
    <w:rsid w:val="00136D37"/>
    <w:rsid w:val="0013702C"/>
    <w:rsid w:val="00163DB1"/>
    <w:rsid w:val="00171F84"/>
    <w:rsid w:val="0017407B"/>
    <w:rsid w:val="0017599E"/>
    <w:rsid w:val="001861FB"/>
    <w:rsid w:val="001939BA"/>
    <w:rsid w:val="001A6EB0"/>
    <w:rsid w:val="001B441D"/>
    <w:rsid w:val="001C432B"/>
    <w:rsid w:val="001C5225"/>
    <w:rsid w:val="001E0219"/>
    <w:rsid w:val="001E5FA8"/>
    <w:rsid w:val="00207BCD"/>
    <w:rsid w:val="00213BE7"/>
    <w:rsid w:val="00231A1D"/>
    <w:rsid w:val="00244120"/>
    <w:rsid w:val="00265BFD"/>
    <w:rsid w:val="0028672F"/>
    <w:rsid w:val="00293F9F"/>
    <w:rsid w:val="002A2389"/>
    <w:rsid w:val="002C08E2"/>
    <w:rsid w:val="002C1794"/>
    <w:rsid w:val="002C762E"/>
    <w:rsid w:val="002D0EA3"/>
    <w:rsid w:val="002D2FC5"/>
    <w:rsid w:val="002E6637"/>
    <w:rsid w:val="002E77E3"/>
    <w:rsid w:val="002F2566"/>
    <w:rsid w:val="002F38C5"/>
    <w:rsid w:val="00302F67"/>
    <w:rsid w:val="00326D37"/>
    <w:rsid w:val="00332947"/>
    <w:rsid w:val="00333EB4"/>
    <w:rsid w:val="00345915"/>
    <w:rsid w:val="00347587"/>
    <w:rsid w:val="00365D29"/>
    <w:rsid w:val="00374F22"/>
    <w:rsid w:val="003828B5"/>
    <w:rsid w:val="003A2D64"/>
    <w:rsid w:val="003D2FFE"/>
    <w:rsid w:val="003D5F0A"/>
    <w:rsid w:val="003E3D8B"/>
    <w:rsid w:val="00400032"/>
    <w:rsid w:val="00403A08"/>
    <w:rsid w:val="00407005"/>
    <w:rsid w:val="004134D8"/>
    <w:rsid w:val="0041680C"/>
    <w:rsid w:val="00421628"/>
    <w:rsid w:val="0042394B"/>
    <w:rsid w:val="00473B08"/>
    <w:rsid w:val="00474B5F"/>
    <w:rsid w:val="00486F28"/>
    <w:rsid w:val="004A3CE6"/>
    <w:rsid w:val="004A4A1D"/>
    <w:rsid w:val="004B2C9D"/>
    <w:rsid w:val="004B4A47"/>
    <w:rsid w:val="004B5CA2"/>
    <w:rsid w:val="004E667D"/>
    <w:rsid w:val="004E6AF9"/>
    <w:rsid w:val="004F58F0"/>
    <w:rsid w:val="004F6CC9"/>
    <w:rsid w:val="004F73C3"/>
    <w:rsid w:val="00500C1F"/>
    <w:rsid w:val="005031DF"/>
    <w:rsid w:val="00512C49"/>
    <w:rsid w:val="005367CD"/>
    <w:rsid w:val="00562E31"/>
    <w:rsid w:val="00564AC4"/>
    <w:rsid w:val="00597314"/>
    <w:rsid w:val="005A61AF"/>
    <w:rsid w:val="005B56AE"/>
    <w:rsid w:val="005B7EF3"/>
    <w:rsid w:val="005C5053"/>
    <w:rsid w:val="005D0886"/>
    <w:rsid w:val="005D76A9"/>
    <w:rsid w:val="005E384D"/>
    <w:rsid w:val="005F2181"/>
    <w:rsid w:val="005F70D7"/>
    <w:rsid w:val="005F724B"/>
    <w:rsid w:val="00603942"/>
    <w:rsid w:val="006054E5"/>
    <w:rsid w:val="00606705"/>
    <w:rsid w:val="0060694E"/>
    <w:rsid w:val="00625DFF"/>
    <w:rsid w:val="0063072B"/>
    <w:rsid w:val="00643CB6"/>
    <w:rsid w:val="00662891"/>
    <w:rsid w:val="006628B7"/>
    <w:rsid w:val="00671E0E"/>
    <w:rsid w:val="00674352"/>
    <w:rsid w:val="00675FCB"/>
    <w:rsid w:val="006A0B87"/>
    <w:rsid w:val="006B278F"/>
    <w:rsid w:val="006B3942"/>
    <w:rsid w:val="006C3914"/>
    <w:rsid w:val="006C4D4C"/>
    <w:rsid w:val="006C635F"/>
    <w:rsid w:val="006D3648"/>
    <w:rsid w:val="006E0381"/>
    <w:rsid w:val="00717E8A"/>
    <w:rsid w:val="0074093C"/>
    <w:rsid w:val="0074184E"/>
    <w:rsid w:val="00743829"/>
    <w:rsid w:val="00755F8D"/>
    <w:rsid w:val="00764BBE"/>
    <w:rsid w:val="00766CDD"/>
    <w:rsid w:val="00766CFE"/>
    <w:rsid w:val="007712A1"/>
    <w:rsid w:val="0077267E"/>
    <w:rsid w:val="00774ABE"/>
    <w:rsid w:val="007855AE"/>
    <w:rsid w:val="0079062C"/>
    <w:rsid w:val="00792038"/>
    <w:rsid w:val="00796503"/>
    <w:rsid w:val="007A02C8"/>
    <w:rsid w:val="007A4E2D"/>
    <w:rsid w:val="007A6160"/>
    <w:rsid w:val="007A64B6"/>
    <w:rsid w:val="007B0CB6"/>
    <w:rsid w:val="007D2BDA"/>
    <w:rsid w:val="007D56C8"/>
    <w:rsid w:val="007E3934"/>
    <w:rsid w:val="007E7303"/>
    <w:rsid w:val="007F5787"/>
    <w:rsid w:val="008040C6"/>
    <w:rsid w:val="00806382"/>
    <w:rsid w:val="008212A0"/>
    <w:rsid w:val="00837F53"/>
    <w:rsid w:val="00841F59"/>
    <w:rsid w:val="00844125"/>
    <w:rsid w:val="00862A45"/>
    <w:rsid w:val="00862DDC"/>
    <w:rsid w:val="008659E1"/>
    <w:rsid w:val="00897199"/>
    <w:rsid w:val="008C220E"/>
    <w:rsid w:val="008D1750"/>
    <w:rsid w:val="008D7800"/>
    <w:rsid w:val="008E2910"/>
    <w:rsid w:val="008E4913"/>
    <w:rsid w:val="008F2147"/>
    <w:rsid w:val="00900464"/>
    <w:rsid w:val="0090100E"/>
    <w:rsid w:val="00912904"/>
    <w:rsid w:val="00916B1E"/>
    <w:rsid w:val="009324A4"/>
    <w:rsid w:val="00932830"/>
    <w:rsid w:val="0093500E"/>
    <w:rsid w:val="0093767E"/>
    <w:rsid w:val="00961C9E"/>
    <w:rsid w:val="00964EE4"/>
    <w:rsid w:val="00972965"/>
    <w:rsid w:val="00972A02"/>
    <w:rsid w:val="0097782B"/>
    <w:rsid w:val="009830DC"/>
    <w:rsid w:val="0099517C"/>
    <w:rsid w:val="009A0937"/>
    <w:rsid w:val="009A6597"/>
    <w:rsid w:val="009B2ECD"/>
    <w:rsid w:val="009B7914"/>
    <w:rsid w:val="009E4153"/>
    <w:rsid w:val="009F430B"/>
    <w:rsid w:val="009F740C"/>
    <w:rsid w:val="009F749C"/>
    <w:rsid w:val="00A13A5D"/>
    <w:rsid w:val="00A160B2"/>
    <w:rsid w:val="00A16271"/>
    <w:rsid w:val="00A30E1B"/>
    <w:rsid w:val="00A349D4"/>
    <w:rsid w:val="00A566E7"/>
    <w:rsid w:val="00A630BF"/>
    <w:rsid w:val="00A6666D"/>
    <w:rsid w:val="00A73B25"/>
    <w:rsid w:val="00A940D3"/>
    <w:rsid w:val="00A96FCA"/>
    <w:rsid w:val="00AA4BE8"/>
    <w:rsid w:val="00AB115C"/>
    <w:rsid w:val="00AC0AAB"/>
    <w:rsid w:val="00AC2D79"/>
    <w:rsid w:val="00AC7BA9"/>
    <w:rsid w:val="00AD6AA6"/>
    <w:rsid w:val="00B0425E"/>
    <w:rsid w:val="00B50F6C"/>
    <w:rsid w:val="00B55DAD"/>
    <w:rsid w:val="00B900E2"/>
    <w:rsid w:val="00B9118E"/>
    <w:rsid w:val="00B91567"/>
    <w:rsid w:val="00BC73EA"/>
    <w:rsid w:val="00BD6115"/>
    <w:rsid w:val="00BD684A"/>
    <w:rsid w:val="00BF492B"/>
    <w:rsid w:val="00C06465"/>
    <w:rsid w:val="00C320E2"/>
    <w:rsid w:val="00C32DAE"/>
    <w:rsid w:val="00C40E24"/>
    <w:rsid w:val="00C45241"/>
    <w:rsid w:val="00C61B80"/>
    <w:rsid w:val="00C62C1E"/>
    <w:rsid w:val="00C77F72"/>
    <w:rsid w:val="00C92D9A"/>
    <w:rsid w:val="00C93040"/>
    <w:rsid w:val="00C96EF5"/>
    <w:rsid w:val="00CA5128"/>
    <w:rsid w:val="00CD34D5"/>
    <w:rsid w:val="00CD7A7A"/>
    <w:rsid w:val="00CF1098"/>
    <w:rsid w:val="00D15A0A"/>
    <w:rsid w:val="00D214ED"/>
    <w:rsid w:val="00D23EB3"/>
    <w:rsid w:val="00D25064"/>
    <w:rsid w:val="00D27970"/>
    <w:rsid w:val="00D32B51"/>
    <w:rsid w:val="00D34668"/>
    <w:rsid w:val="00D35166"/>
    <w:rsid w:val="00D3740E"/>
    <w:rsid w:val="00D40335"/>
    <w:rsid w:val="00D51255"/>
    <w:rsid w:val="00D63CF8"/>
    <w:rsid w:val="00D701F5"/>
    <w:rsid w:val="00D807CD"/>
    <w:rsid w:val="00D82F57"/>
    <w:rsid w:val="00D841A5"/>
    <w:rsid w:val="00D914D2"/>
    <w:rsid w:val="00D951BE"/>
    <w:rsid w:val="00DA25DB"/>
    <w:rsid w:val="00DA5073"/>
    <w:rsid w:val="00DA597B"/>
    <w:rsid w:val="00DB0791"/>
    <w:rsid w:val="00DD4251"/>
    <w:rsid w:val="00DE7C8B"/>
    <w:rsid w:val="00E02B50"/>
    <w:rsid w:val="00E03F11"/>
    <w:rsid w:val="00E06DC8"/>
    <w:rsid w:val="00E17E56"/>
    <w:rsid w:val="00E220B5"/>
    <w:rsid w:val="00E32D0B"/>
    <w:rsid w:val="00E33D93"/>
    <w:rsid w:val="00E37570"/>
    <w:rsid w:val="00E609EF"/>
    <w:rsid w:val="00E8515B"/>
    <w:rsid w:val="00E90AFF"/>
    <w:rsid w:val="00EA4EF9"/>
    <w:rsid w:val="00EF2F91"/>
    <w:rsid w:val="00F20B62"/>
    <w:rsid w:val="00F21CA3"/>
    <w:rsid w:val="00F33EE3"/>
    <w:rsid w:val="00F36419"/>
    <w:rsid w:val="00F4213B"/>
    <w:rsid w:val="00F510AA"/>
    <w:rsid w:val="00F57675"/>
    <w:rsid w:val="00F65900"/>
    <w:rsid w:val="00F806B8"/>
    <w:rsid w:val="00F83BAD"/>
    <w:rsid w:val="00F849ED"/>
    <w:rsid w:val="00F87271"/>
    <w:rsid w:val="00F87D24"/>
    <w:rsid w:val="00F92398"/>
    <w:rsid w:val="00FA1BF2"/>
    <w:rsid w:val="00FB0907"/>
    <w:rsid w:val="00FD31A0"/>
    <w:rsid w:val="00FE56AC"/>
    <w:rsid w:val="00FF2882"/>
    <w:rsid w:val="00FF68F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9955">
      <w:bodyDiv w:val="1"/>
      <w:marLeft w:val="0"/>
      <w:marRight w:val="0"/>
      <w:marTop w:val="0"/>
      <w:marBottom w:val="0"/>
      <w:divBdr>
        <w:top w:val="none" w:sz="0" w:space="0" w:color="auto"/>
        <w:left w:val="none" w:sz="0" w:space="0" w:color="auto"/>
        <w:bottom w:val="none" w:sz="0" w:space="0" w:color="auto"/>
        <w:right w:val="none" w:sz="0" w:space="0" w:color="auto"/>
      </w:divBdr>
    </w:div>
    <w:div w:id="17756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9e2096-1cad-492d-804d-9abc973e09ce">
      <UserInfo>
        <DisplayName>Justin Phillips (Anti Fraud)</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5" ma:contentTypeDescription="Create a new document." ma:contentTypeScope="" ma:versionID="86e0e7a42816cea3544ccf391d9ae4ec">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c834ac0fc0e81cdae7d2cb53fb2453fd"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purl.org/dc/elements/1.1/"/>
    <ds:schemaRef ds:uri="http://schemas.microsoft.com/office/2006/metadata/properties"/>
    <ds:schemaRef ds:uri="http://purl.org/dc/terms/"/>
    <ds:schemaRef ds:uri="http://schemas.openxmlformats.org/package/2006/metadata/core-properties"/>
    <ds:schemaRef ds:uri="339e2096-1cad-492d-804d-9abc973e09ce"/>
    <ds:schemaRef ds:uri="http://schemas.microsoft.com/office/2006/documentManagement/types"/>
    <ds:schemaRef ds:uri="http://schemas.microsoft.com/office/infopath/2007/PartnerControls"/>
    <ds:schemaRef ds:uri="f97bcfd9-eee9-4b50-8430-bb265ff25d0f"/>
    <ds:schemaRef ds:uri="http://www.w3.org/XML/1998/namespace"/>
    <ds:schemaRef ds:uri="http://purl.org/dc/dcmitype/"/>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6E0F974C-B367-45AD-98F1-D352AD09C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cfd9-eee9-4b50-8430-bb265ff25d0f"/>
    <ds:schemaRef ds:uri="339e2096-1cad-492d-804d-9abc973e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1050</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Arun Birah</cp:lastModifiedBy>
  <cp:revision>2</cp:revision>
  <cp:lastPrinted>2007-07-12T09:53:00Z</cp:lastPrinted>
  <dcterms:created xsi:type="dcterms:W3CDTF">2023-09-06T16:35:00Z</dcterms:created>
  <dcterms:modified xsi:type="dcterms:W3CDTF">2023-09-06T16:35:00Z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ies>
</file>